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543" w:rsidRDefault="00E13A8A" w:rsidP="00D5461A">
      <w:pPr>
        <w:tabs>
          <w:tab w:val="left" w:pos="1560"/>
          <w:tab w:val="center" w:pos="4702"/>
        </w:tabs>
        <w:spacing w:after="0" w:line="276" w:lineRule="auto"/>
        <w:ind w:left="1560" w:hanging="1560"/>
        <w:rPr>
          <w:rFonts w:ascii="Times New Roman" w:hAnsi="Times New Roman" w:cs="Times New Roman"/>
        </w:rPr>
      </w:pPr>
      <w:r>
        <w:rPr>
          <w:rFonts w:ascii="Times New Roman" w:hAnsi="Times New Roman" w:cs="Times New Roman"/>
        </w:rPr>
        <w:tab/>
      </w:r>
      <w:r w:rsidR="00063352">
        <w:rPr>
          <w:rFonts w:ascii="Times New Roman" w:hAnsi="Times New Roman" w:cs="Times New Roman"/>
        </w:rPr>
        <w:tab/>
      </w:r>
    </w:p>
    <w:p w:rsidR="000B012D" w:rsidRDefault="000B012D" w:rsidP="00542543">
      <w:pPr>
        <w:tabs>
          <w:tab w:val="left" w:pos="1560"/>
          <w:tab w:val="center" w:pos="4702"/>
        </w:tabs>
        <w:spacing w:after="0" w:line="276" w:lineRule="auto"/>
        <w:jc w:val="center"/>
        <w:rPr>
          <w:rFonts w:ascii="Arial Narrow" w:hAnsi="Arial Narrow" w:cs="Times New Roman"/>
          <w:i/>
          <w:sz w:val="24"/>
          <w:szCs w:val="24"/>
        </w:rPr>
      </w:pPr>
    </w:p>
    <w:p w:rsidR="00B558F9" w:rsidRPr="00ED3BFF" w:rsidRDefault="00B558F9" w:rsidP="00542543">
      <w:pPr>
        <w:tabs>
          <w:tab w:val="left" w:pos="1560"/>
          <w:tab w:val="center" w:pos="4702"/>
        </w:tabs>
        <w:spacing w:after="0" w:line="276" w:lineRule="auto"/>
        <w:jc w:val="center"/>
        <w:rPr>
          <w:rFonts w:ascii="Arial Narrow" w:hAnsi="Arial Narrow" w:cs="Times New Roman"/>
          <w:i/>
          <w:sz w:val="24"/>
          <w:szCs w:val="24"/>
        </w:rPr>
      </w:pPr>
      <w:r w:rsidRPr="00ED3BFF">
        <w:rPr>
          <w:rFonts w:ascii="Arial Narrow" w:hAnsi="Arial Narrow" w:cs="Times New Roman"/>
          <w:i/>
          <w:sz w:val="24"/>
          <w:szCs w:val="24"/>
        </w:rPr>
        <w:t>Notas a los Estados Financieros Presupuestales</w:t>
      </w:r>
    </w:p>
    <w:p w:rsidR="009F6961" w:rsidRPr="00ED3BFF" w:rsidRDefault="00D70EFA" w:rsidP="00063352">
      <w:pPr>
        <w:spacing w:after="0" w:line="276" w:lineRule="auto"/>
        <w:jc w:val="center"/>
        <w:rPr>
          <w:rFonts w:ascii="Arial Narrow" w:hAnsi="Arial Narrow" w:cs="Times New Roman"/>
          <w:i/>
          <w:sz w:val="24"/>
          <w:szCs w:val="24"/>
        </w:rPr>
      </w:pPr>
      <w:r w:rsidRPr="00ED3BFF">
        <w:rPr>
          <w:rFonts w:ascii="Arial Narrow" w:hAnsi="Arial Narrow" w:cs="Times New Roman"/>
          <w:i/>
          <w:sz w:val="24"/>
          <w:szCs w:val="24"/>
        </w:rPr>
        <w:t xml:space="preserve">Ejercicio </w:t>
      </w:r>
      <w:r w:rsidR="009F6961" w:rsidRPr="00ED3BFF">
        <w:rPr>
          <w:rFonts w:ascii="Arial Narrow" w:hAnsi="Arial Narrow" w:cs="Times New Roman"/>
          <w:i/>
          <w:sz w:val="24"/>
          <w:szCs w:val="24"/>
        </w:rPr>
        <w:t>20</w:t>
      </w:r>
      <w:r w:rsidR="00266EEF" w:rsidRPr="00ED3BFF">
        <w:rPr>
          <w:rFonts w:ascii="Arial Narrow" w:hAnsi="Arial Narrow" w:cs="Times New Roman"/>
          <w:i/>
          <w:sz w:val="24"/>
          <w:szCs w:val="24"/>
        </w:rPr>
        <w:t>22</w:t>
      </w:r>
    </w:p>
    <w:p w:rsidR="004F6DA6" w:rsidRPr="00ED3BFF" w:rsidRDefault="0008383A" w:rsidP="008200F7">
      <w:pPr>
        <w:spacing w:after="0" w:line="276" w:lineRule="auto"/>
        <w:jc w:val="center"/>
        <w:rPr>
          <w:rFonts w:ascii="Arial Narrow" w:hAnsi="Arial Narrow" w:cs="Times New Roman"/>
          <w:b/>
        </w:rPr>
      </w:pPr>
      <w:r w:rsidRPr="00ED3BFF">
        <w:rPr>
          <w:rFonts w:ascii="Arial Narrow" w:hAnsi="Arial Narrow" w:cs="Times New Roman"/>
          <w:i/>
          <w:sz w:val="24"/>
          <w:szCs w:val="24"/>
        </w:rPr>
        <w:t xml:space="preserve">Del </w:t>
      </w:r>
      <w:r w:rsidR="00266EEF" w:rsidRPr="00ED3BFF">
        <w:rPr>
          <w:rFonts w:ascii="Arial Narrow" w:hAnsi="Arial Narrow" w:cs="Times New Roman"/>
          <w:i/>
          <w:sz w:val="24"/>
          <w:szCs w:val="24"/>
        </w:rPr>
        <w:t xml:space="preserve">mes de </w:t>
      </w:r>
      <w:r w:rsidR="00E636BB">
        <w:rPr>
          <w:rFonts w:ascii="Arial Narrow" w:hAnsi="Arial Narrow" w:cs="Times New Roman"/>
          <w:i/>
          <w:sz w:val="24"/>
          <w:szCs w:val="24"/>
        </w:rPr>
        <w:t>Dic</w:t>
      </w:r>
      <w:r w:rsidR="00F576BD">
        <w:rPr>
          <w:rFonts w:ascii="Arial Narrow" w:hAnsi="Arial Narrow" w:cs="Times New Roman"/>
          <w:i/>
          <w:sz w:val="24"/>
          <w:szCs w:val="24"/>
        </w:rPr>
        <w:t>iembre</w:t>
      </w:r>
    </w:p>
    <w:p w:rsidR="00E935F8" w:rsidRPr="00ED3BFF" w:rsidRDefault="00E935F8" w:rsidP="00063352">
      <w:pPr>
        <w:spacing w:line="276" w:lineRule="auto"/>
        <w:rPr>
          <w:rFonts w:ascii="Arial Narrow" w:hAnsi="Arial Narrow" w:cs="Times New Roman"/>
          <w:b/>
        </w:rPr>
      </w:pPr>
    </w:p>
    <w:p w:rsidR="0008383A" w:rsidRPr="00ED3BFF" w:rsidRDefault="0008383A" w:rsidP="00063352">
      <w:pPr>
        <w:spacing w:line="276" w:lineRule="auto"/>
        <w:rPr>
          <w:rFonts w:ascii="Arial Narrow" w:hAnsi="Arial Narrow" w:cs="Times New Roman"/>
          <w:b/>
        </w:rPr>
      </w:pPr>
      <w:r w:rsidRPr="00ED3BFF">
        <w:rPr>
          <w:rFonts w:ascii="Arial Narrow" w:hAnsi="Arial Narrow" w:cs="Times New Roman"/>
          <w:b/>
        </w:rPr>
        <w:t>NOTAS DE DESGLOSE</w:t>
      </w:r>
    </w:p>
    <w:p w:rsidR="000B012D" w:rsidRPr="00ED3BFF" w:rsidRDefault="000B012D" w:rsidP="00063352">
      <w:pPr>
        <w:tabs>
          <w:tab w:val="left" w:pos="2970"/>
          <w:tab w:val="center" w:pos="4419"/>
        </w:tabs>
        <w:spacing w:line="276" w:lineRule="auto"/>
        <w:rPr>
          <w:rFonts w:ascii="Arial Narrow" w:hAnsi="Arial Narrow" w:cs="Times New Roman"/>
          <w:b/>
          <w:sz w:val="24"/>
          <w:szCs w:val="24"/>
        </w:rPr>
      </w:pPr>
    </w:p>
    <w:p w:rsidR="009F6961" w:rsidRPr="009A59B7" w:rsidRDefault="009F6961" w:rsidP="00063352">
      <w:pPr>
        <w:tabs>
          <w:tab w:val="left" w:pos="2970"/>
          <w:tab w:val="center" w:pos="4419"/>
        </w:tabs>
        <w:spacing w:line="276" w:lineRule="auto"/>
        <w:rPr>
          <w:rFonts w:ascii="Arial Narrow" w:hAnsi="Arial Narrow" w:cs="Times New Roman"/>
          <w:b/>
          <w:sz w:val="24"/>
          <w:szCs w:val="24"/>
        </w:rPr>
      </w:pPr>
      <w:r w:rsidRPr="009A59B7">
        <w:rPr>
          <w:rFonts w:ascii="Arial Narrow" w:hAnsi="Arial Narrow" w:cs="Times New Roman"/>
          <w:b/>
          <w:sz w:val="24"/>
          <w:szCs w:val="24"/>
        </w:rPr>
        <w:t>Estado Analítico de Ingresos</w:t>
      </w:r>
    </w:p>
    <w:p w:rsidR="009A59B7" w:rsidRPr="009A59B7" w:rsidRDefault="00476CEC" w:rsidP="009A59B7">
      <w:pPr>
        <w:tabs>
          <w:tab w:val="left" w:pos="2970"/>
          <w:tab w:val="center" w:pos="4419"/>
        </w:tabs>
        <w:spacing w:line="276" w:lineRule="auto"/>
        <w:jc w:val="both"/>
        <w:rPr>
          <w:rFonts w:ascii="Arial Narrow" w:hAnsi="Arial Narrow" w:cs="Times New Roman"/>
          <w:sz w:val="24"/>
          <w:szCs w:val="24"/>
        </w:rPr>
      </w:pPr>
      <w:r w:rsidRPr="009A59B7">
        <w:rPr>
          <w:rFonts w:ascii="Arial Narrow" w:hAnsi="Arial Narrow" w:cs="Times New Roman"/>
          <w:sz w:val="24"/>
          <w:szCs w:val="24"/>
        </w:rPr>
        <w:t xml:space="preserve">Para el ejercicio </w:t>
      </w:r>
      <w:r w:rsidR="00266EEF" w:rsidRPr="009A59B7">
        <w:rPr>
          <w:rFonts w:ascii="Arial Narrow" w:hAnsi="Arial Narrow" w:cs="Times New Roman"/>
          <w:sz w:val="24"/>
          <w:szCs w:val="24"/>
        </w:rPr>
        <w:t>2022</w:t>
      </w:r>
      <w:r w:rsidRPr="009A59B7">
        <w:rPr>
          <w:rFonts w:ascii="Arial Narrow" w:hAnsi="Arial Narrow" w:cs="Times New Roman"/>
          <w:sz w:val="24"/>
          <w:szCs w:val="24"/>
        </w:rPr>
        <w:t xml:space="preserve"> se aprobó un presupuesto </w:t>
      </w:r>
      <w:r w:rsidR="00957A70" w:rsidRPr="009A59B7">
        <w:rPr>
          <w:rFonts w:ascii="Arial Narrow" w:hAnsi="Arial Narrow" w:cs="Times New Roman"/>
          <w:sz w:val="24"/>
          <w:szCs w:val="24"/>
        </w:rPr>
        <w:t xml:space="preserve">al Poder Judicial </w:t>
      </w:r>
      <w:r w:rsidRPr="009A59B7">
        <w:rPr>
          <w:rFonts w:ascii="Arial Narrow" w:hAnsi="Arial Narrow" w:cs="Times New Roman"/>
          <w:sz w:val="24"/>
          <w:szCs w:val="24"/>
        </w:rPr>
        <w:t>por la cantidad de $</w:t>
      </w:r>
      <w:r w:rsidR="00CC70E2" w:rsidRPr="009A59B7">
        <w:rPr>
          <w:rFonts w:ascii="Arial Narrow" w:hAnsi="Arial Narrow" w:cs="Times New Roman"/>
          <w:sz w:val="24"/>
          <w:szCs w:val="24"/>
        </w:rPr>
        <w:t>1,</w:t>
      </w:r>
      <w:r w:rsidR="007B4831" w:rsidRPr="009A59B7">
        <w:rPr>
          <w:rFonts w:ascii="Arial Narrow" w:hAnsi="Arial Narrow" w:cs="Times New Roman"/>
          <w:sz w:val="24"/>
          <w:szCs w:val="24"/>
        </w:rPr>
        <w:t>503,750,378</w:t>
      </w:r>
      <w:r w:rsidR="00F50BC6" w:rsidRPr="009A59B7">
        <w:rPr>
          <w:rFonts w:ascii="Arial Narrow" w:hAnsi="Arial Narrow" w:cs="Times New Roman"/>
          <w:sz w:val="24"/>
          <w:szCs w:val="24"/>
        </w:rPr>
        <w:t>.00</w:t>
      </w:r>
      <w:r w:rsidR="00D02602" w:rsidRPr="009A59B7">
        <w:rPr>
          <w:rFonts w:ascii="Arial Narrow" w:hAnsi="Arial Narrow" w:cs="Times New Roman"/>
          <w:sz w:val="24"/>
          <w:szCs w:val="24"/>
        </w:rPr>
        <w:t xml:space="preserve"> (un mil </w:t>
      </w:r>
      <w:r w:rsidR="007B4831" w:rsidRPr="009A59B7">
        <w:rPr>
          <w:rFonts w:ascii="Arial Narrow" w:hAnsi="Arial Narrow" w:cs="Times New Roman"/>
          <w:sz w:val="24"/>
          <w:szCs w:val="24"/>
        </w:rPr>
        <w:t xml:space="preserve">quinientos tres </w:t>
      </w:r>
      <w:r w:rsidR="001B07C9" w:rsidRPr="009A59B7">
        <w:rPr>
          <w:rFonts w:ascii="Arial Narrow" w:hAnsi="Arial Narrow" w:cs="Times New Roman"/>
          <w:sz w:val="24"/>
          <w:szCs w:val="24"/>
        </w:rPr>
        <w:t>millones setecientos cincuenta mil trescientos setenta y ocho</w:t>
      </w:r>
      <w:r w:rsidR="004F2FBA" w:rsidRPr="009A59B7">
        <w:rPr>
          <w:rFonts w:ascii="Arial Narrow" w:hAnsi="Arial Narrow" w:cs="Times New Roman"/>
          <w:sz w:val="24"/>
          <w:szCs w:val="24"/>
        </w:rPr>
        <w:t xml:space="preserve"> </w:t>
      </w:r>
      <w:r w:rsidR="00CC70E2" w:rsidRPr="009A59B7">
        <w:rPr>
          <w:rFonts w:ascii="Arial Narrow" w:hAnsi="Arial Narrow" w:cs="Times New Roman"/>
          <w:sz w:val="24"/>
          <w:szCs w:val="24"/>
        </w:rPr>
        <w:t>pesos 00/100 m.n.)</w:t>
      </w:r>
      <w:r w:rsidR="009F1F3D" w:rsidRPr="009A59B7">
        <w:rPr>
          <w:rFonts w:ascii="Arial Narrow" w:hAnsi="Arial Narrow" w:cs="Times New Roman"/>
          <w:sz w:val="24"/>
          <w:szCs w:val="24"/>
        </w:rPr>
        <w:t>,</w:t>
      </w:r>
      <w:r w:rsidR="00CC70E2" w:rsidRPr="009A59B7">
        <w:rPr>
          <w:rFonts w:ascii="Arial Narrow" w:hAnsi="Arial Narrow" w:cs="Times New Roman"/>
          <w:sz w:val="24"/>
          <w:szCs w:val="24"/>
        </w:rPr>
        <w:t xml:space="preserve"> al mes de </w:t>
      </w:r>
      <w:r w:rsidR="00E636BB">
        <w:rPr>
          <w:rFonts w:ascii="Arial Narrow" w:hAnsi="Arial Narrow" w:cs="Times New Roman"/>
          <w:sz w:val="24"/>
          <w:szCs w:val="24"/>
        </w:rPr>
        <w:t>dic</w:t>
      </w:r>
      <w:r w:rsidR="00F576BD">
        <w:rPr>
          <w:rFonts w:ascii="Arial Narrow" w:hAnsi="Arial Narrow" w:cs="Times New Roman"/>
          <w:sz w:val="24"/>
          <w:szCs w:val="24"/>
        </w:rPr>
        <w:t>iembre</w:t>
      </w:r>
      <w:r w:rsidR="00E14295" w:rsidRPr="009A59B7">
        <w:rPr>
          <w:rFonts w:ascii="Arial Narrow" w:hAnsi="Arial Narrow" w:cs="Times New Roman"/>
          <w:sz w:val="24"/>
          <w:szCs w:val="24"/>
        </w:rPr>
        <w:t xml:space="preserve"> se recaudó </w:t>
      </w:r>
      <w:r w:rsidR="00E636BB">
        <w:rPr>
          <w:rFonts w:ascii="Arial Narrow" w:hAnsi="Arial Narrow" w:cs="Times New Roman"/>
          <w:sz w:val="24"/>
          <w:szCs w:val="24"/>
        </w:rPr>
        <w:t>el 100% de los recursos</w:t>
      </w:r>
      <w:r w:rsidR="00F576BD" w:rsidRPr="00ED3BFF">
        <w:rPr>
          <w:rFonts w:ascii="Arial Narrow" w:hAnsi="Arial Narrow" w:cs="Times New Roman"/>
          <w:sz w:val="24"/>
          <w:szCs w:val="24"/>
        </w:rPr>
        <w:t xml:space="preserve"> aprobados de acuerdo al calendario de obras y acc</w:t>
      </w:r>
      <w:r w:rsidR="00E636BB">
        <w:rPr>
          <w:rFonts w:ascii="Arial Narrow" w:hAnsi="Arial Narrow" w:cs="Times New Roman"/>
          <w:sz w:val="24"/>
          <w:szCs w:val="24"/>
        </w:rPr>
        <w:t>iones para el ejercicio fiscal.</w:t>
      </w:r>
    </w:p>
    <w:p w:rsidR="002C5C4A" w:rsidRPr="009A59B7" w:rsidRDefault="006806D7" w:rsidP="002C5C4A">
      <w:pPr>
        <w:tabs>
          <w:tab w:val="left" w:pos="2970"/>
          <w:tab w:val="center" w:pos="4419"/>
        </w:tabs>
        <w:spacing w:line="276" w:lineRule="auto"/>
        <w:jc w:val="both"/>
        <w:rPr>
          <w:rFonts w:ascii="Arial Narrow" w:hAnsi="Arial Narrow" w:cs="Times New Roman"/>
          <w:sz w:val="24"/>
          <w:szCs w:val="24"/>
        </w:rPr>
      </w:pPr>
      <w:r>
        <w:rPr>
          <w:rFonts w:ascii="Arial Narrow" w:hAnsi="Arial Narrow" w:cs="Times New Roman"/>
          <w:sz w:val="24"/>
          <w:szCs w:val="24"/>
        </w:rPr>
        <w:t xml:space="preserve">En el mes de agosto se aprobó por parte de la Comisión de Administración del Consejo del Poder Judicial del Estado de Michoacán el registro de la ampliación liquida al presupuesto por concepto de estímulo o recompensa a los servidores públicos del Poder Judicial 2022 establecido en la Ley del Fondo Auxiliar para la Administración de la Justicia del Estado por un importe de $29,132,853.05 (veintinueve millones ciento treinta y dos mil ochocientos cincuenta y tres pesos 05/100 m.n.), posteriormente se informa sobre una reducción a dicha ampliación por la cantidad de $27,163.89 (veintisiete mil ciento sesenta y tres pesos 89/100 m.n.) por lo que la ampliación queda por la cantidad de $29,105,689.16 (veintinueve millones ciento cinco mil seiscientos ochenta y nueve pesos 16/100 m.n.), misma cantidad que se recaudó. Subsiguientemente en </w:t>
      </w:r>
      <w:r w:rsidR="002C5C4A" w:rsidRPr="009A59B7">
        <w:rPr>
          <w:rFonts w:ascii="Arial Narrow" w:hAnsi="Arial Narrow" w:cs="Times New Roman"/>
          <w:sz w:val="24"/>
          <w:szCs w:val="24"/>
        </w:rPr>
        <w:t xml:space="preserve">el mes de </w:t>
      </w:r>
      <w:r w:rsidR="00D5461A" w:rsidRPr="009A59B7">
        <w:rPr>
          <w:rFonts w:ascii="Arial Narrow" w:hAnsi="Arial Narrow" w:cs="Times New Roman"/>
          <w:sz w:val="24"/>
          <w:szCs w:val="24"/>
        </w:rPr>
        <w:t>Septiembre</w:t>
      </w:r>
      <w:r w:rsidR="002C5C4A" w:rsidRPr="009A59B7">
        <w:rPr>
          <w:rFonts w:ascii="Arial Narrow" w:hAnsi="Arial Narrow" w:cs="Times New Roman"/>
          <w:sz w:val="24"/>
          <w:szCs w:val="24"/>
        </w:rPr>
        <w:t xml:space="preserve"> se aprobó por parte de la Comisión de Administración del Consejo del Poder Judicial del Estado de Michoacán el registro de la ampliación liquida al presupuesto por concepto de estímul</w:t>
      </w:r>
      <w:r w:rsidR="00D5461A" w:rsidRPr="009A59B7">
        <w:rPr>
          <w:rFonts w:ascii="Arial Narrow" w:hAnsi="Arial Narrow" w:cs="Times New Roman"/>
          <w:sz w:val="24"/>
          <w:szCs w:val="24"/>
        </w:rPr>
        <w:t xml:space="preserve">o o recompensa a los servidores </w:t>
      </w:r>
      <w:r w:rsidR="002C5C4A" w:rsidRPr="009A59B7">
        <w:rPr>
          <w:rFonts w:ascii="Arial Narrow" w:hAnsi="Arial Narrow" w:cs="Times New Roman"/>
          <w:sz w:val="24"/>
          <w:szCs w:val="24"/>
        </w:rPr>
        <w:t>públicos del Poder Judicial 2022 establecido en la Ley del Fondo Auxiliar para la Administración de la Justic</w:t>
      </w:r>
      <w:r w:rsidR="00D5461A" w:rsidRPr="009A59B7">
        <w:rPr>
          <w:rFonts w:ascii="Arial Narrow" w:hAnsi="Arial Narrow" w:cs="Times New Roman"/>
          <w:sz w:val="24"/>
          <w:szCs w:val="24"/>
        </w:rPr>
        <w:t xml:space="preserve">ia del Estado por un importe de </w:t>
      </w:r>
      <w:r w:rsidR="006922DE" w:rsidRPr="009A59B7">
        <w:rPr>
          <w:rFonts w:ascii="Arial Narrow" w:hAnsi="Arial Narrow" w:cs="Times New Roman"/>
          <w:sz w:val="24"/>
          <w:szCs w:val="24"/>
        </w:rPr>
        <w:t>$</w:t>
      </w:r>
      <w:r w:rsidR="00D5461A" w:rsidRPr="009A59B7">
        <w:rPr>
          <w:rFonts w:ascii="Arial Narrow" w:hAnsi="Arial Narrow" w:cs="Times New Roman"/>
          <w:sz w:val="24"/>
          <w:szCs w:val="24"/>
        </w:rPr>
        <w:t>12,360.20</w:t>
      </w:r>
      <w:r w:rsidR="006922DE" w:rsidRPr="009A59B7">
        <w:rPr>
          <w:rFonts w:ascii="Arial Narrow" w:hAnsi="Arial Narrow" w:cs="Times New Roman"/>
          <w:sz w:val="24"/>
          <w:szCs w:val="24"/>
        </w:rPr>
        <w:t xml:space="preserve"> (</w:t>
      </w:r>
      <w:r w:rsidR="00D5461A" w:rsidRPr="009A59B7">
        <w:rPr>
          <w:rFonts w:ascii="Arial Narrow" w:hAnsi="Arial Narrow" w:cs="Times New Roman"/>
          <w:sz w:val="24"/>
          <w:szCs w:val="24"/>
        </w:rPr>
        <w:t>doce mil trescientos sesenta pesos 20/100 m.n.), asimismo</w:t>
      </w:r>
      <w:r w:rsidR="00E636BB">
        <w:rPr>
          <w:rFonts w:ascii="Arial Narrow" w:hAnsi="Arial Narrow" w:cs="Times New Roman"/>
          <w:sz w:val="24"/>
          <w:szCs w:val="24"/>
        </w:rPr>
        <w:t>,</w:t>
      </w:r>
      <w:r w:rsidR="00D5461A" w:rsidRPr="009A59B7">
        <w:rPr>
          <w:rFonts w:ascii="Arial Narrow" w:hAnsi="Arial Narrow" w:cs="Times New Roman"/>
          <w:sz w:val="24"/>
          <w:szCs w:val="24"/>
        </w:rPr>
        <w:t xml:space="preserve"> </w:t>
      </w:r>
      <w:r w:rsidR="006922DE" w:rsidRPr="009A59B7">
        <w:rPr>
          <w:rFonts w:ascii="Arial Narrow" w:hAnsi="Arial Narrow" w:cs="Times New Roman"/>
          <w:sz w:val="24"/>
          <w:szCs w:val="24"/>
        </w:rPr>
        <w:t xml:space="preserve">se informa sobre una reducción </w:t>
      </w:r>
      <w:r w:rsidR="00D5461A" w:rsidRPr="009A59B7">
        <w:rPr>
          <w:rFonts w:ascii="Arial Narrow" w:hAnsi="Arial Narrow" w:cs="Times New Roman"/>
          <w:sz w:val="24"/>
          <w:szCs w:val="24"/>
        </w:rPr>
        <w:t xml:space="preserve">liquida </w:t>
      </w:r>
      <w:r w:rsidR="006922DE" w:rsidRPr="009A59B7">
        <w:rPr>
          <w:rFonts w:ascii="Arial Narrow" w:hAnsi="Arial Narrow" w:cs="Times New Roman"/>
          <w:sz w:val="24"/>
          <w:szCs w:val="24"/>
        </w:rPr>
        <w:t>por la cantidad de $</w:t>
      </w:r>
      <w:r w:rsidR="00D5461A" w:rsidRPr="009A59B7">
        <w:rPr>
          <w:rFonts w:ascii="Arial Narrow" w:hAnsi="Arial Narrow" w:cs="Times New Roman"/>
          <w:sz w:val="24"/>
          <w:szCs w:val="24"/>
        </w:rPr>
        <w:t>333.00</w:t>
      </w:r>
      <w:r w:rsidR="006922DE" w:rsidRPr="009A59B7">
        <w:rPr>
          <w:rFonts w:ascii="Arial Narrow" w:hAnsi="Arial Narrow" w:cs="Times New Roman"/>
          <w:sz w:val="24"/>
          <w:szCs w:val="24"/>
        </w:rPr>
        <w:t xml:space="preserve"> (</w:t>
      </w:r>
      <w:r w:rsidR="00D5461A" w:rsidRPr="009A59B7">
        <w:rPr>
          <w:rFonts w:ascii="Arial Narrow" w:hAnsi="Arial Narrow" w:cs="Times New Roman"/>
          <w:sz w:val="24"/>
          <w:szCs w:val="24"/>
        </w:rPr>
        <w:t>trescientos treinta y tres</w:t>
      </w:r>
      <w:r w:rsidR="006922DE" w:rsidRPr="009A59B7">
        <w:rPr>
          <w:rFonts w:ascii="Arial Narrow" w:hAnsi="Arial Narrow" w:cs="Times New Roman"/>
          <w:sz w:val="24"/>
          <w:szCs w:val="24"/>
        </w:rPr>
        <w:t xml:space="preserve"> pesos </w:t>
      </w:r>
      <w:r w:rsidR="00D5461A" w:rsidRPr="009A59B7">
        <w:rPr>
          <w:rFonts w:ascii="Arial Narrow" w:hAnsi="Arial Narrow" w:cs="Times New Roman"/>
          <w:sz w:val="24"/>
          <w:szCs w:val="24"/>
        </w:rPr>
        <w:t>00</w:t>
      </w:r>
      <w:r w:rsidR="006922DE" w:rsidRPr="009A59B7">
        <w:rPr>
          <w:rFonts w:ascii="Arial Narrow" w:hAnsi="Arial Narrow" w:cs="Times New Roman"/>
          <w:sz w:val="24"/>
          <w:szCs w:val="24"/>
        </w:rPr>
        <w:t>/100 m.n.)</w:t>
      </w:r>
      <w:r w:rsidR="00E636BB">
        <w:rPr>
          <w:rFonts w:ascii="Arial Narrow" w:hAnsi="Arial Narrow" w:cs="Times New Roman"/>
          <w:sz w:val="24"/>
          <w:szCs w:val="24"/>
        </w:rPr>
        <w:t>,</w:t>
      </w:r>
      <w:r w:rsidR="006922DE" w:rsidRPr="009A59B7">
        <w:rPr>
          <w:rFonts w:ascii="Arial Narrow" w:hAnsi="Arial Narrow" w:cs="Times New Roman"/>
          <w:sz w:val="24"/>
          <w:szCs w:val="24"/>
        </w:rPr>
        <w:t xml:space="preserve"> por lo que la ampliación queda por la cantidad de </w:t>
      </w:r>
      <w:r w:rsidR="002C5C4A" w:rsidRPr="009A59B7">
        <w:rPr>
          <w:rFonts w:ascii="Arial Narrow" w:hAnsi="Arial Narrow" w:cs="Times New Roman"/>
          <w:sz w:val="24"/>
          <w:szCs w:val="24"/>
        </w:rPr>
        <w:t>$29,</w:t>
      </w:r>
      <w:r w:rsidR="00D30ADB" w:rsidRPr="009A59B7">
        <w:rPr>
          <w:rFonts w:ascii="Arial Narrow" w:hAnsi="Arial Narrow" w:cs="Times New Roman"/>
          <w:sz w:val="24"/>
          <w:szCs w:val="24"/>
        </w:rPr>
        <w:t>117,716.36</w:t>
      </w:r>
      <w:r w:rsidR="002C5C4A" w:rsidRPr="009A59B7">
        <w:rPr>
          <w:rFonts w:ascii="Arial Narrow" w:hAnsi="Arial Narrow" w:cs="Times New Roman"/>
          <w:sz w:val="24"/>
          <w:szCs w:val="24"/>
        </w:rPr>
        <w:t xml:space="preserve"> (veintinueve millones ciento </w:t>
      </w:r>
      <w:r w:rsidR="00D30ADB" w:rsidRPr="009A59B7">
        <w:rPr>
          <w:rFonts w:ascii="Arial Narrow" w:hAnsi="Arial Narrow" w:cs="Times New Roman"/>
          <w:sz w:val="24"/>
          <w:szCs w:val="24"/>
        </w:rPr>
        <w:t xml:space="preserve">diecisiete mil setecientos dieciséis </w:t>
      </w:r>
      <w:r w:rsidR="002C5C4A" w:rsidRPr="009A59B7">
        <w:rPr>
          <w:rFonts w:ascii="Arial Narrow" w:hAnsi="Arial Narrow" w:cs="Times New Roman"/>
          <w:sz w:val="24"/>
          <w:szCs w:val="24"/>
        </w:rPr>
        <w:t xml:space="preserve"> pesos </w:t>
      </w:r>
      <w:r w:rsidR="00D30ADB" w:rsidRPr="009A59B7">
        <w:rPr>
          <w:rFonts w:ascii="Arial Narrow" w:hAnsi="Arial Narrow" w:cs="Times New Roman"/>
          <w:sz w:val="24"/>
          <w:szCs w:val="24"/>
        </w:rPr>
        <w:t>3</w:t>
      </w:r>
      <w:r w:rsidR="002C5C4A" w:rsidRPr="009A59B7">
        <w:rPr>
          <w:rFonts w:ascii="Arial Narrow" w:hAnsi="Arial Narrow" w:cs="Times New Roman"/>
          <w:sz w:val="24"/>
          <w:szCs w:val="24"/>
        </w:rPr>
        <w:t>6/100 m.n.), misma cantidad que se recaudó.</w:t>
      </w:r>
    </w:p>
    <w:p w:rsidR="00E636BB" w:rsidRPr="009A59B7" w:rsidRDefault="00D30ADB" w:rsidP="00CE170C">
      <w:pPr>
        <w:tabs>
          <w:tab w:val="left" w:pos="2970"/>
          <w:tab w:val="center" w:pos="4419"/>
        </w:tabs>
        <w:spacing w:line="276" w:lineRule="auto"/>
        <w:jc w:val="both"/>
        <w:rPr>
          <w:rFonts w:ascii="Arial Narrow" w:hAnsi="Arial Narrow"/>
          <w:sz w:val="24"/>
          <w:szCs w:val="24"/>
        </w:rPr>
      </w:pPr>
      <w:r w:rsidRPr="009A59B7">
        <w:rPr>
          <w:rFonts w:ascii="Arial Narrow" w:hAnsi="Arial Narrow" w:cs="Times New Roman"/>
          <w:sz w:val="24"/>
          <w:szCs w:val="24"/>
        </w:rPr>
        <w:t>En</w:t>
      </w:r>
      <w:r w:rsidR="006922DE" w:rsidRPr="009A59B7">
        <w:rPr>
          <w:rFonts w:ascii="Arial Narrow" w:hAnsi="Arial Narrow" w:cs="Times New Roman"/>
          <w:sz w:val="24"/>
          <w:szCs w:val="24"/>
        </w:rPr>
        <w:t xml:space="preserve"> el mes de agosto se aprobó por parte de la Comisión de Administración del Consejo del Poder Judicial del Estado de Michoacán</w:t>
      </w:r>
      <w:r w:rsidR="00E636BB">
        <w:rPr>
          <w:rFonts w:ascii="Arial Narrow" w:hAnsi="Arial Narrow" w:cs="Times New Roman"/>
          <w:sz w:val="24"/>
          <w:szCs w:val="24"/>
        </w:rPr>
        <w:t>,</w:t>
      </w:r>
      <w:r w:rsidR="006922DE" w:rsidRPr="009A59B7">
        <w:rPr>
          <w:rFonts w:ascii="Arial Narrow" w:hAnsi="Arial Narrow" w:cs="Times New Roman"/>
          <w:sz w:val="24"/>
          <w:szCs w:val="24"/>
        </w:rPr>
        <w:t xml:space="preserve"> el registro de la ampliación liquida al presupuesto por concepto del subsidio destinado a la tercera etapa de implementación de la Reforma al S</w:t>
      </w:r>
      <w:bookmarkStart w:id="0" w:name="_GoBack"/>
      <w:bookmarkEnd w:id="0"/>
      <w:r w:rsidR="006922DE" w:rsidRPr="009A59B7">
        <w:rPr>
          <w:rFonts w:ascii="Arial Narrow" w:hAnsi="Arial Narrow" w:cs="Times New Roman"/>
          <w:sz w:val="24"/>
          <w:szCs w:val="24"/>
        </w:rPr>
        <w:t>istema de Justicia Laboral ante la Secretaría de Finanzas y Administración del Estado d</w:t>
      </w:r>
      <w:r w:rsidR="00ED3BFF" w:rsidRPr="009A59B7">
        <w:rPr>
          <w:rFonts w:ascii="Arial Narrow" w:hAnsi="Arial Narrow" w:cs="Times New Roman"/>
          <w:sz w:val="24"/>
          <w:szCs w:val="24"/>
        </w:rPr>
        <w:t xml:space="preserve">e Michoacán por la cantidad de </w:t>
      </w:r>
      <w:r w:rsidR="006922DE" w:rsidRPr="009A59B7">
        <w:rPr>
          <w:rFonts w:ascii="Arial Narrow" w:hAnsi="Arial Narrow"/>
          <w:sz w:val="24"/>
          <w:szCs w:val="24"/>
        </w:rPr>
        <w:t>$20,949,273.96 (veinte millones novecientos cuarenta y nueve mil doscientos setenta y tres pesos 96/100 m.n.), misma cantidad que se recaudó.</w:t>
      </w:r>
      <w:r w:rsidR="00E636BB">
        <w:rPr>
          <w:rFonts w:ascii="Arial Narrow" w:hAnsi="Arial Narrow"/>
          <w:sz w:val="24"/>
          <w:szCs w:val="24"/>
        </w:rPr>
        <w:t xml:space="preserve"> En el mes de diciembre se reintegró a la Secretaría de Finanzas y Administración el importe no ejercido por un total de $2,409,699.03 (dos millones cuatrocientos nueve mil seiscientos noventa y nueve pesos 03/100 m.n.)</w:t>
      </w:r>
    </w:p>
    <w:p w:rsidR="00234EA4" w:rsidRDefault="00234EA4" w:rsidP="00CE170C">
      <w:pPr>
        <w:tabs>
          <w:tab w:val="left" w:pos="2970"/>
          <w:tab w:val="center" w:pos="4419"/>
        </w:tabs>
        <w:spacing w:line="276" w:lineRule="auto"/>
        <w:jc w:val="both"/>
        <w:rPr>
          <w:rFonts w:ascii="Arial Narrow" w:hAnsi="Arial Narrow" w:cs="Times New Roman"/>
          <w:sz w:val="24"/>
          <w:szCs w:val="24"/>
        </w:rPr>
      </w:pPr>
    </w:p>
    <w:p w:rsidR="00E636BB" w:rsidRPr="009A59B7" w:rsidRDefault="00E636BB" w:rsidP="00CE170C">
      <w:pPr>
        <w:tabs>
          <w:tab w:val="left" w:pos="2970"/>
          <w:tab w:val="center" w:pos="4419"/>
        </w:tabs>
        <w:spacing w:line="276" w:lineRule="auto"/>
        <w:jc w:val="both"/>
        <w:rPr>
          <w:rFonts w:ascii="Arial Narrow" w:hAnsi="Arial Narrow" w:cs="Times New Roman"/>
          <w:sz w:val="24"/>
          <w:szCs w:val="24"/>
        </w:rPr>
      </w:pPr>
    </w:p>
    <w:p w:rsidR="00B558F9" w:rsidRPr="009A59B7" w:rsidRDefault="006806D7" w:rsidP="004F6DA6">
      <w:pPr>
        <w:spacing w:line="360" w:lineRule="auto"/>
        <w:jc w:val="both"/>
        <w:rPr>
          <w:rFonts w:ascii="Arial Narrow" w:hAnsi="Arial Narrow" w:cs="Times New Roman"/>
          <w:b/>
          <w:sz w:val="24"/>
          <w:szCs w:val="24"/>
        </w:rPr>
      </w:pPr>
      <w:r>
        <w:rPr>
          <w:rFonts w:ascii="Arial Narrow" w:hAnsi="Arial Narrow" w:cs="Times New Roman"/>
          <w:b/>
          <w:sz w:val="24"/>
          <w:szCs w:val="24"/>
        </w:rPr>
        <w:lastRenderedPageBreak/>
        <w:t>E</w:t>
      </w:r>
      <w:r w:rsidR="00B558F9" w:rsidRPr="009A59B7">
        <w:rPr>
          <w:rFonts w:ascii="Arial Narrow" w:hAnsi="Arial Narrow" w:cs="Times New Roman"/>
          <w:b/>
          <w:sz w:val="24"/>
          <w:szCs w:val="24"/>
        </w:rPr>
        <w:t>stado Analítico del Ejercicio del Presupuesto de Egresos</w:t>
      </w:r>
    </w:p>
    <w:p w:rsidR="00A91315" w:rsidRPr="009A59B7" w:rsidRDefault="00424F9D" w:rsidP="00424F9D">
      <w:pPr>
        <w:pStyle w:val="Ttulo2"/>
        <w:spacing w:before="0" w:beforeAutospacing="0" w:after="0" w:afterAutospacing="0"/>
        <w:jc w:val="both"/>
        <w:rPr>
          <w:rFonts w:ascii="Arial Narrow" w:hAnsi="Arial Narrow"/>
          <w:b w:val="0"/>
          <w:sz w:val="24"/>
          <w:szCs w:val="24"/>
        </w:rPr>
      </w:pPr>
      <w:r w:rsidRPr="009A59B7">
        <w:rPr>
          <w:rFonts w:ascii="Arial Narrow" w:hAnsi="Arial Narrow"/>
          <w:b w:val="0"/>
          <w:sz w:val="24"/>
          <w:szCs w:val="24"/>
        </w:rPr>
        <w:t>Pa</w:t>
      </w:r>
      <w:r w:rsidR="00F03B9F" w:rsidRPr="009A59B7">
        <w:rPr>
          <w:rFonts w:ascii="Arial Narrow" w:hAnsi="Arial Narrow"/>
          <w:b w:val="0"/>
          <w:sz w:val="24"/>
          <w:szCs w:val="24"/>
        </w:rPr>
        <w:t xml:space="preserve">ra el mes de </w:t>
      </w:r>
      <w:r w:rsidR="00E636BB">
        <w:rPr>
          <w:rFonts w:ascii="Arial Narrow" w:hAnsi="Arial Narrow"/>
          <w:b w:val="0"/>
          <w:sz w:val="24"/>
          <w:szCs w:val="24"/>
        </w:rPr>
        <w:t>Dic</w:t>
      </w:r>
      <w:r w:rsidR="00F576BD">
        <w:rPr>
          <w:rFonts w:ascii="Arial Narrow" w:hAnsi="Arial Narrow"/>
          <w:b w:val="0"/>
          <w:sz w:val="24"/>
          <w:szCs w:val="24"/>
        </w:rPr>
        <w:t>iembre</w:t>
      </w:r>
      <w:r w:rsidR="00F03B9F" w:rsidRPr="009A59B7">
        <w:rPr>
          <w:rFonts w:ascii="Arial Narrow" w:hAnsi="Arial Narrow"/>
          <w:b w:val="0"/>
          <w:sz w:val="24"/>
          <w:szCs w:val="24"/>
        </w:rPr>
        <w:t xml:space="preserve"> se cuenta con un presupuesto modificado </w:t>
      </w:r>
      <w:r w:rsidR="0078006B" w:rsidRPr="009A59B7">
        <w:rPr>
          <w:rFonts w:ascii="Arial Narrow" w:hAnsi="Arial Narrow"/>
          <w:b w:val="0"/>
          <w:sz w:val="24"/>
          <w:szCs w:val="24"/>
        </w:rPr>
        <w:t xml:space="preserve">por </w:t>
      </w:r>
      <w:r w:rsidR="00F03B9F" w:rsidRPr="009A59B7">
        <w:rPr>
          <w:rFonts w:ascii="Arial Narrow" w:hAnsi="Arial Narrow"/>
          <w:b w:val="0"/>
          <w:sz w:val="24"/>
          <w:szCs w:val="24"/>
        </w:rPr>
        <w:t>la cantidad $1,</w:t>
      </w:r>
      <w:r w:rsidR="00E636BB">
        <w:rPr>
          <w:rFonts w:ascii="Arial Narrow" w:hAnsi="Arial Narrow"/>
          <w:b w:val="0"/>
          <w:sz w:val="24"/>
          <w:szCs w:val="24"/>
        </w:rPr>
        <w:t>551,407,669.29</w:t>
      </w:r>
      <w:r w:rsidRPr="009A59B7">
        <w:rPr>
          <w:rFonts w:ascii="Arial Narrow" w:hAnsi="Arial Narrow"/>
          <w:b w:val="0"/>
          <w:sz w:val="24"/>
          <w:szCs w:val="24"/>
        </w:rPr>
        <w:t xml:space="preserve"> </w:t>
      </w:r>
      <w:r w:rsidR="004D25E4" w:rsidRPr="009A59B7">
        <w:rPr>
          <w:rFonts w:ascii="Arial Narrow" w:hAnsi="Arial Narrow"/>
          <w:sz w:val="24"/>
          <w:szCs w:val="24"/>
        </w:rPr>
        <w:t>(</w:t>
      </w:r>
      <w:r w:rsidR="00F576BD" w:rsidRPr="00F576BD">
        <w:rPr>
          <w:rFonts w:ascii="Arial Narrow" w:hAnsi="Arial Narrow"/>
          <w:b w:val="0"/>
          <w:sz w:val="24"/>
          <w:szCs w:val="24"/>
        </w:rPr>
        <w:t>Un m</w:t>
      </w:r>
      <w:r w:rsidRPr="009A59B7">
        <w:rPr>
          <w:rFonts w:ascii="Arial Narrow" w:hAnsi="Arial Narrow" w:cs="Arial"/>
          <w:b w:val="0"/>
          <w:bCs w:val="0"/>
          <w:color w:val="000000"/>
          <w:sz w:val="24"/>
          <w:szCs w:val="24"/>
        </w:rPr>
        <w:t xml:space="preserve">il </w:t>
      </w:r>
      <w:r w:rsidR="00E636BB">
        <w:rPr>
          <w:rFonts w:ascii="Arial Narrow" w:hAnsi="Arial Narrow" w:cs="Arial"/>
          <w:b w:val="0"/>
          <w:bCs w:val="0"/>
          <w:color w:val="000000"/>
          <w:sz w:val="24"/>
          <w:szCs w:val="24"/>
        </w:rPr>
        <w:t>quinien</w:t>
      </w:r>
      <w:r w:rsidR="00F576BD">
        <w:rPr>
          <w:rFonts w:ascii="Arial Narrow" w:hAnsi="Arial Narrow" w:cs="Arial"/>
          <w:b w:val="0"/>
          <w:bCs w:val="0"/>
          <w:color w:val="000000"/>
          <w:sz w:val="24"/>
          <w:szCs w:val="24"/>
        </w:rPr>
        <w:t xml:space="preserve">tos </w:t>
      </w:r>
      <w:r w:rsidR="00E636BB">
        <w:rPr>
          <w:rFonts w:ascii="Arial Narrow" w:hAnsi="Arial Narrow" w:cs="Arial"/>
          <w:b w:val="0"/>
          <w:bCs w:val="0"/>
          <w:color w:val="000000"/>
          <w:sz w:val="24"/>
          <w:szCs w:val="24"/>
        </w:rPr>
        <w:t>cincuenta y un</w:t>
      </w:r>
      <w:r w:rsidRPr="009A59B7">
        <w:rPr>
          <w:rFonts w:ascii="Arial Narrow" w:hAnsi="Arial Narrow" w:cs="Arial"/>
          <w:b w:val="0"/>
          <w:bCs w:val="0"/>
          <w:color w:val="000000"/>
          <w:sz w:val="24"/>
          <w:szCs w:val="24"/>
        </w:rPr>
        <w:t xml:space="preserve"> millones </w:t>
      </w:r>
      <w:r w:rsidR="00E636BB">
        <w:rPr>
          <w:rFonts w:ascii="Arial Narrow" w:hAnsi="Arial Narrow" w:cs="Arial"/>
          <w:b w:val="0"/>
          <w:bCs w:val="0"/>
          <w:color w:val="000000"/>
          <w:sz w:val="24"/>
          <w:szCs w:val="24"/>
        </w:rPr>
        <w:t>cuatroc</w:t>
      </w:r>
      <w:r w:rsidR="00D069E7">
        <w:rPr>
          <w:rFonts w:ascii="Arial Narrow" w:hAnsi="Arial Narrow" w:cs="Arial"/>
          <w:b w:val="0"/>
          <w:bCs w:val="0"/>
          <w:color w:val="000000"/>
          <w:sz w:val="24"/>
          <w:szCs w:val="24"/>
        </w:rPr>
        <w:t xml:space="preserve">ientos </w:t>
      </w:r>
      <w:r w:rsidR="00E636BB">
        <w:rPr>
          <w:rFonts w:ascii="Arial Narrow" w:hAnsi="Arial Narrow" w:cs="Arial"/>
          <w:b w:val="0"/>
          <w:bCs w:val="0"/>
          <w:color w:val="000000"/>
          <w:sz w:val="24"/>
          <w:szCs w:val="24"/>
        </w:rPr>
        <w:t>siete</w:t>
      </w:r>
      <w:r w:rsidRPr="009A59B7">
        <w:rPr>
          <w:rFonts w:ascii="Arial Narrow" w:hAnsi="Arial Narrow" w:cs="Arial"/>
          <w:b w:val="0"/>
          <w:bCs w:val="0"/>
          <w:color w:val="000000"/>
          <w:sz w:val="24"/>
          <w:szCs w:val="24"/>
        </w:rPr>
        <w:t xml:space="preserve"> mil </w:t>
      </w:r>
      <w:r w:rsidR="00E636BB">
        <w:rPr>
          <w:rFonts w:ascii="Arial Narrow" w:hAnsi="Arial Narrow" w:cs="Arial"/>
          <w:b w:val="0"/>
          <w:bCs w:val="0"/>
          <w:color w:val="000000"/>
          <w:sz w:val="24"/>
          <w:szCs w:val="24"/>
        </w:rPr>
        <w:t>seis</w:t>
      </w:r>
      <w:r w:rsidR="00D069E7">
        <w:rPr>
          <w:rFonts w:ascii="Arial Narrow" w:hAnsi="Arial Narrow" w:cs="Arial"/>
          <w:b w:val="0"/>
          <w:bCs w:val="0"/>
          <w:color w:val="000000"/>
          <w:sz w:val="24"/>
          <w:szCs w:val="24"/>
        </w:rPr>
        <w:t xml:space="preserve">cientos </w:t>
      </w:r>
      <w:r w:rsidR="00E636BB">
        <w:rPr>
          <w:rFonts w:ascii="Arial Narrow" w:hAnsi="Arial Narrow" w:cs="Arial"/>
          <w:b w:val="0"/>
          <w:bCs w:val="0"/>
          <w:color w:val="000000"/>
          <w:sz w:val="24"/>
          <w:szCs w:val="24"/>
        </w:rPr>
        <w:t>sesenta y nue</w:t>
      </w:r>
      <w:r w:rsidR="00D069E7">
        <w:rPr>
          <w:rFonts w:ascii="Arial Narrow" w:hAnsi="Arial Narrow" w:cs="Arial"/>
          <w:b w:val="0"/>
          <w:bCs w:val="0"/>
          <w:color w:val="000000"/>
          <w:sz w:val="24"/>
          <w:szCs w:val="24"/>
        </w:rPr>
        <w:t>ve</w:t>
      </w:r>
      <w:r w:rsidRPr="009A59B7">
        <w:rPr>
          <w:rFonts w:ascii="Arial Narrow" w:hAnsi="Arial Narrow" w:cs="Arial"/>
          <w:b w:val="0"/>
          <w:bCs w:val="0"/>
          <w:color w:val="000000"/>
          <w:sz w:val="24"/>
          <w:szCs w:val="24"/>
        </w:rPr>
        <w:t xml:space="preserve"> </w:t>
      </w:r>
      <w:r w:rsidR="00F03B9F" w:rsidRPr="009A59B7">
        <w:rPr>
          <w:rFonts w:ascii="Arial Narrow" w:hAnsi="Arial Narrow"/>
          <w:b w:val="0"/>
          <w:sz w:val="24"/>
          <w:szCs w:val="24"/>
        </w:rPr>
        <w:t xml:space="preserve">pesos </w:t>
      </w:r>
      <w:r w:rsidR="00CC5ECA">
        <w:rPr>
          <w:rFonts w:ascii="Arial Narrow" w:hAnsi="Arial Narrow"/>
          <w:b w:val="0"/>
          <w:sz w:val="24"/>
          <w:szCs w:val="24"/>
        </w:rPr>
        <w:t>29</w:t>
      </w:r>
      <w:r w:rsidR="00F03B9F" w:rsidRPr="009A59B7">
        <w:rPr>
          <w:rFonts w:ascii="Arial Narrow" w:hAnsi="Arial Narrow"/>
          <w:b w:val="0"/>
          <w:sz w:val="24"/>
          <w:szCs w:val="24"/>
        </w:rPr>
        <w:t>/100 m.</w:t>
      </w:r>
      <w:r w:rsidR="004D25E4" w:rsidRPr="009A59B7">
        <w:rPr>
          <w:rFonts w:ascii="Arial Narrow" w:hAnsi="Arial Narrow"/>
          <w:b w:val="0"/>
          <w:sz w:val="24"/>
          <w:szCs w:val="24"/>
        </w:rPr>
        <w:t xml:space="preserve">n.), </w:t>
      </w:r>
      <w:r w:rsidR="008A325E">
        <w:rPr>
          <w:rFonts w:ascii="Arial Narrow" w:hAnsi="Arial Narrow"/>
          <w:b w:val="0"/>
          <w:sz w:val="24"/>
          <w:szCs w:val="24"/>
        </w:rPr>
        <w:t>se devengó</w:t>
      </w:r>
      <w:r w:rsidR="00250F2D" w:rsidRPr="009A59B7">
        <w:rPr>
          <w:rFonts w:ascii="Arial Narrow" w:hAnsi="Arial Narrow"/>
          <w:b w:val="0"/>
          <w:sz w:val="24"/>
          <w:szCs w:val="24"/>
        </w:rPr>
        <w:t xml:space="preserve"> la cantidad </w:t>
      </w:r>
      <w:r w:rsidR="001A3725" w:rsidRPr="009A59B7">
        <w:rPr>
          <w:rFonts w:ascii="Arial Narrow" w:hAnsi="Arial Narrow"/>
          <w:b w:val="0"/>
          <w:sz w:val="24"/>
          <w:szCs w:val="24"/>
        </w:rPr>
        <w:t xml:space="preserve">de </w:t>
      </w:r>
      <w:r w:rsidR="001B0F3B" w:rsidRPr="009A59B7">
        <w:rPr>
          <w:rFonts w:ascii="Arial Narrow" w:hAnsi="Arial Narrow"/>
          <w:b w:val="0"/>
          <w:sz w:val="24"/>
          <w:szCs w:val="24"/>
        </w:rPr>
        <w:t>$</w:t>
      </w:r>
      <w:r w:rsidR="00F03B9F" w:rsidRPr="009A59B7">
        <w:rPr>
          <w:rFonts w:ascii="Arial Narrow" w:hAnsi="Arial Narrow"/>
          <w:b w:val="0"/>
          <w:sz w:val="24"/>
          <w:szCs w:val="24"/>
        </w:rPr>
        <w:t xml:space="preserve"> </w:t>
      </w:r>
      <w:r w:rsidR="001150B5" w:rsidRPr="009A59B7">
        <w:rPr>
          <w:rFonts w:ascii="Arial Narrow" w:hAnsi="Arial Narrow"/>
          <w:b w:val="0"/>
          <w:sz w:val="24"/>
          <w:szCs w:val="24"/>
        </w:rPr>
        <w:t>1,</w:t>
      </w:r>
      <w:r w:rsidR="00CC5ECA">
        <w:rPr>
          <w:rFonts w:ascii="Arial Narrow" w:hAnsi="Arial Narrow"/>
          <w:b w:val="0"/>
          <w:sz w:val="24"/>
          <w:szCs w:val="24"/>
        </w:rPr>
        <w:t>516,841,830.36</w:t>
      </w:r>
      <w:r w:rsidR="001150B5" w:rsidRPr="009A59B7">
        <w:rPr>
          <w:rFonts w:ascii="Arial Narrow" w:hAnsi="Arial Narrow"/>
          <w:b w:val="0"/>
          <w:sz w:val="24"/>
          <w:szCs w:val="24"/>
        </w:rPr>
        <w:t xml:space="preserve"> </w:t>
      </w:r>
      <w:r w:rsidR="003C4B50" w:rsidRPr="009A59B7">
        <w:rPr>
          <w:rFonts w:ascii="Arial Narrow" w:hAnsi="Arial Narrow"/>
          <w:b w:val="0"/>
          <w:sz w:val="24"/>
          <w:szCs w:val="24"/>
        </w:rPr>
        <w:t>(</w:t>
      </w:r>
      <w:r w:rsidR="00D069E7">
        <w:rPr>
          <w:rFonts w:ascii="Arial Narrow" w:hAnsi="Arial Narrow"/>
          <w:b w:val="0"/>
          <w:sz w:val="24"/>
          <w:szCs w:val="24"/>
        </w:rPr>
        <w:t>Un m</w:t>
      </w:r>
      <w:r w:rsidR="001150B5" w:rsidRPr="009A59B7">
        <w:rPr>
          <w:rFonts w:ascii="Arial Narrow" w:hAnsi="Arial Narrow"/>
          <w:b w:val="0"/>
          <w:sz w:val="24"/>
          <w:szCs w:val="24"/>
        </w:rPr>
        <w:t xml:space="preserve">il </w:t>
      </w:r>
      <w:r w:rsidR="00CC5ECA">
        <w:rPr>
          <w:rFonts w:ascii="Arial Narrow" w:hAnsi="Arial Narrow"/>
          <w:b w:val="0"/>
          <w:sz w:val="24"/>
          <w:szCs w:val="24"/>
        </w:rPr>
        <w:t xml:space="preserve">quinientos dieciséis </w:t>
      </w:r>
      <w:r w:rsidR="00F03B9F" w:rsidRPr="009A59B7">
        <w:rPr>
          <w:rFonts w:ascii="Arial Narrow" w:hAnsi="Arial Narrow"/>
          <w:b w:val="0"/>
          <w:sz w:val="24"/>
          <w:szCs w:val="24"/>
        </w:rPr>
        <w:t xml:space="preserve">millones </w:t>
      </w:r>
      <w:r w:rsidR="00CC5ECA">
        <w:rPr>
          <w:rFonts w:ascii="Arial Narrow" w:hAnsi="Arial Narrow"/>
          <w:b w:val="0"/>
          <w:sz w:val="24"/>
          <w:szCs w:val="24"/>
        </w:rPr>
        <w:t>ocho</w:t>
      </w:r>
      <w:r w:rsidR="00D069E7">
        <w:rPr>
          <w:rFonts w:ascii="Arial Narrow" w:hAnsi="Arial Narrow"/>
          <w:b w:val="0"/>
          <w:sz w:val="24"/>
          <w:szCs w:val="24"/>
        </w:rPr>
        <w:t xml:space="preserve">cientos </w:t>
      </w:r>
      <w:r w:rsidR="00CC5ECA">
        <w:rPr>
          <w:rFonts w:ascii="Arial Narrow" w:hAnsi="Arial Narrow"/>
          <w:b w:val="0"/>
          <w:sz w:val="24"/>
          <w:szCs w:val="24"/>
        </w:rPr>
        <w:t>cuarenta y un</w:t>
      </w:r>
      <w:r w:rsidR="001150B5" w:rsidRPr="009A59B7">
        <w:rPr>
          <w:rFonts w:ascii="Arial Narrow" w:hAnsi="Arial Narrow"/>
          <w:b w:val="0"/>
          <w:sz w:val="24"/>
          <w:szCs w:val="24"/>
        </w:rPr>
        <w:t xml:space="preserve"> mil </w:t>
      </w:r>
      <w:r w:rsidR="00CC5ECA">
        <w:rPr>
          <w:rFonts w:ascii="Arial Narrow" w:hAnsi="Arial Narrow"/>
          <w:b w:val="0"/>
          <w:sz w:val="24"/>
          <w:szCs w:val="24"/>
        </w:rPr>
        <w:t>ochocientos treinta</w:t>
      </w:r>
      <w:r w:rsidR="00D069E7">
        <w:rPr>
          <w:rFonts w:ascii="Arial Narrow" w:hAnsi="Arial Narrow"/>
          <w:b w:val="0"/>
          <w:sz w:val="24"/>
          <w:szCs w:val="24"/>
        </w:rPr>
        <w:t xml:space="preserve"> </w:t>
      </w:r>
      <w:r w:rsidR="00CE170C" w:rsidRPr="009A59B7">
        <w:rPr>
          <w:rFonts w:ascii="Arial Narrow" w:hAnsi="Arial Narrow"/>
          <w:b w:val="0"/>
          <w:sz w:val="24"/>
          <w:szCs w:val="24"/>
        </w:rPr>
        <w:t>pesos</w:t>
      </w:r>
      <w:r w:rsidR="00457BA0" w:rsidRPr="009A59B7">
        <w:rPr>
          <w:rFonts w:ascii="Arial Narrow" w:hAnsi="Arial Narrow"/>
          <w:b w:val="0"/>
          <w:sz w:val="24"/>
          <w:szCs w:val="24"/>
        </w:rPr>
        <w:t xml:space="preserve"> </w:t>
      </w:r>
      <w:r w:rsidR="00CC5ECA">
        <w:rPr>
          <w:rFonts w:ascii="Arial Narrow" w:hAnsi="Arial Narrow"/>
          <w:b w:val="0"/>
          <w:sz w:val="24"/>
          <w:szCs w:val="24"/>
        </w:rPr>
        <w:t>36</w:t>
      </w:r>
      <w:r w:rsidR="00CE170C" w:rsidRPr="009A59B7">
        <w:rPr>
          <w:rFonts w:ascii="Arial Narrow" w:hAnsi="Arial Narrow"/>
          <w:b w:val="0"/>
          <w:sz w:val="24"/>
          <w:szCs w:val="24"/>
        </w:rPr>
        <w:t>/100 m.n.)</w:t>
      </w:r>
      <w:r w:rsidR="009B43E3" w:rsidRPr="009A59B7">
        <w:rPr>
          <w:rFonts w:ascii="Arial Narrow" w:hAnsi="Arial Narrow"/>
          <w:b w:val="0"/>
          <w:sz w:val="24"/>
          <w:szCs w:val="24"/>
        </w:rPr>
        <w:t xml:space="preserve"> y un presup</w:t>
      </w:r>
      <w:r w:rsidR="00CC5ECA">
        <w:rPr>
          <w:rFonts w:ascii="Arial Narrow" w:hAnsi="Arial Narrow"/>
          <w:b w:val="0"/>
          <w:sz w:val="24"/>
          <w:szCs w:val="24"/>
        </w:rPr>
        <w:t xml:space="preserve">uesto pagado por la cantidad de                  </w:t>
      </w:r>
      <w:r w:rsidR="00CE170C" w:rsidRPr="009A59B7">
        <w:rPr>
          <w:rFonts w:ascii="Arial Narrow" w:hAnsi="Arial Narrow"/>
          <w:b w:val="0"/>
          <w:sz w:val="24"/>
          <w:szCs w:val="24"/>
        </w:rPr>
        <w:t>$</w:t>
      </w:r>
      <w:r w:rsidR="00F03B9F" w:rsidRPr="009A59B7">
        <w:rPr>
          <w:rFonts w:ascii="Arial Narrow" w:hAnsi="Arial Narrow"/>
          <w:b w:val="0"/>
          <w:sz w:val="24"/>
          <w:szCs w:val="24"/>
        </w:rPr>
        <w:t xml:space="preserve"> </w:t>
      </w:r>
      <w:r w:rsidR="00D069E7">
        <w:rPr>
          <w:rFonts w:ascii="Arial Narrow" w:hAnsi="Arial Narrow"/>
          <w:b w:val="0"/>
          <w:sz w:val="24"/>
          <w:szCs w:val="24"/>
        </w:rPr>
        <w:t>1,</w:t>
      </w:r>
      <w:r w:rsidR="00CC5ECA">
        <w:rPr>
          <w:rFonts w:ascii="Arial Narrow" w:hAnsi="Arial Narrow"/>
          <w:b w:val="0"/>
          <w:sz w:val="24"/>
          <w:szCs w:val="24"/>
        </w:rPr>
        <w:t>493,376,105.27</w:t>
      </w:r>
      <w:r w:rsidR="00D069E7">
        <w:rPr>
          <w:rFonts w:ascii="Arial Narrow" w:hAnsi="Arial Narrow"/>
          <w:b w:val="0"/>
          <w:sz w:val="24"/>
          <w:szCs w:val="24"/>
        </w:rPr>
        <w:t xml:space="preserve"> </w:t>
      </w:r>
      <w:r w:rsidR="00EA026A" w:rsidRPr="009A59B7">
        <w:rPr>
          <w:rFonts w:ascii="Arial Narrow" w:hAnsi="Arial Narrow"/>
          <w:b w:val="0"/>
          <w:sz w:val="24"/>
          <w:szCs w:val="24"/>
        </w:rPr>
        <w:t>(</w:t>
      </w:r>
      <w:r w:rsidR="00D069E7">
        <w:rPr>
          <w:rFonts w:ascii="Arial Narrow" w:hAnsi="Arial Narrow"/>
          <w:b w:val="0"/>
          <w:sz w:val="24"/>
          <w:szCs w:val="24"/>
        </w:rPr>
        <w:t xml:space="preserve">Un </w:t>
      </w:r>
      <w:r w:rsidRPr="009A59B7">
        <w:rPr>
          <w:rFonts w:ascii="Arial Narrow" w:hAnsi="Arial Narrow"/>
          <w:b w:val="0"/>
          <w:sz w:val="24"/>
          <w:szCs w:val="24"/>
        </w:rPr>
        <w:t xml:space="preserve">mil </w:t>
      </w:r>
      <w:r w:rsidR="00CC5ECA">
        <w:rPr>
          <w:rFonts w:ascii="Arial Narrow" w:hAnsi="Arial Narrow"/>
          <w:b w:val="0"/>
          <w:sz w:val="24"/>
          <w:szCs w:val="24"/>
        </w:rPr>
        <w:t>cuatrocientos noventa y tres</w:t>
      </w:r>
      <w:r w:rsidRPr="009A59B7">
        <w:rPr>
          <w:rFonts w:ascii="Arial Narrow" w:hAnsi="Arial Narrow"/>
          <w:b w:val="0"/>
          <w:sz w:val="24"/>
          <w:szCs w:val="24"/>
        </w:rPr>
        <w:t xml:space="preserve"> millones </w:t>
      </w:r>
      <w:r w:rsidR="00CC5ECA">
        <w:rPr>
          <w:rFonts w:ascii="Arial Narrow" w:hAnsi="Arial Narrow"/>
          <w:b w:val="0"/>
          <w:sz w:val="24"/>
          <w:szCs w:val="24"/>
        </w:rPr>
        <w:t>trescientos setenta y seis</w:t>
      </w:r>
      <w:r w:rsidRPr="009A59B7">
        <w:rPr>
          <w:rFonts w:ascii="Arial Narrow" w:hAnsi="Arial Narrow"/>
          <w:b w:val="0"/>
          <w:sz w:val="24"/>
          <w:szCs w:val="24"/>
        </w:rPr>
        <w:t xml:space="preserve"> mil </w:t>
      </w:r>
      <w:r w:rsidR="00CC5ECA">
        <w:rPr>
          <w:rFonts w:ascii="Arial Narrow" w:hAnsi="Arial Narrow"/>
          <w:b w:val="0"/>
          <w:sz w:val="24"/>
          <w:szCs w:val="24"/>
        </w:rPr>
        <w:t>ciento cinco</w:t>
      </w:r>
      <w:r w:rsidR="00B55BC7" w:rsidRPr="009A59B7">
        <w:rPr>
          <w:rFonts w:ascii="Arial Narrow" w:hAnsi="Arial Narrow"/>
          <w:b w:val="0"/>
          <w:sz w:val="24"/>
          <w:szCs w:val="24"/>
        </w:rPr>
        <w:t xml:space="preserve"> </w:t>
      </w:r>
      <w:r w:rsidR="00143E97" w:rsidRPr="009A59B7">
        <w:rPr>
          <w:rFonts w:ascii="Arial Narrow" w:hAnsi="Arial Narrow"/>
          <w:b w:val="0"/>
          <w:sz w:val="24"/>
          <w:szCs w:val="24"/>
        </w:rPr>
        <w:t xml:space="preserve">pesos </w:t>
      </w:r>
      <w:r w:rsidR="00CC5ECA">
        <w:rPr>
          <w:rFonts w:ascii="Arial Narrow" w:hAnsi="Arial Narrow"/>
          <w:b w:val="0"/>
          <w:sz w:val="24"/>
          <w:szCs w:val="24"/>
        </w:rPr>
        <w:t>27</w:t>
      </w:r>
      <w:r w:rsidR="00CE170C" w:rsidRPr="009A59B7">
        <w:rPr>
          <w:rFonts w:ascii="Arial Narrow" w:hAnsi="Arial Narrow"/>
          <w:b w:val="0"/>
          <w:sz w:val="24"/>
          <w:szCs w:val="24"/>
        </w:rPr>
        <w:t xml:space="preserve">/100 m.n.) </w:t>
      </w:r>
      <w:r w:rsidR="00CC70E2" w:rsidRPr="009A59B7">
        <w:rPr>
          <w:rFonts w:ascii="Arial Narrow" w:hAnsi="Arial Narrow"/>
          <w:b w:val="0"/>
          <w:sz w:val="24"/>
          <w:szCs w:val="24"/>
        </w:rPr>
        <w:t xml:space="preserve">obteniendo un remanente denominado técnicamente subejercicio por </w:t>
      </w:r>
      <w:r w:rsidR="00C71150" w:rsidRPr="009A59B7">
        <w:rPr>
          <w:rFonts w:ascii="Arial Narrow" w:hAnsi="Arial Narrow"/>
          <w:b w:val="0"/>
          <w:sz w:val="24"/>
          <w:szCs w:val="24"/>
        </w:rPr>
        <w:t>$</w:t>
      </w:r>
      <w:r w:rsidR="001150B5" w:rsidRPr="009A59B7">
        <w:rPr>
          <w:rFonts w:ascii="Arial Narrow" w:hAnsi="Arial Narrow"/>
          <w:b w:val="0"/>
          <w:sz w:val="24"/>
          <w:szCs w:val="24"/>
        </w:rPr>
        <w:t xml:space="preserve"> </w:t>
      </w:r>
      <w:r w:rsidR="00CC5ECA">
        <w:rPr>
          <w:rFonts w:ascii="Arial Narrow" w:hAnsi="Arial Narrow"/>
          <w:b w:val="0"/>
          <w:sz w:val="24"/>
          <w:szCs w:val="24"/>
        </w:rPr>
        <w:t>34,565,838.93</w:t>
      </w:r>
      <w:r w:rsidR="00F03B9F" w:rsidRPr="009A59B7">
        <w:rPr>
          <w:rFonts w:ascii="Arial Narrow" w:hAnsi="Arial Narrow"/>
          <w:b w:val="0"/>
          <w:sz w:val="24"/>
          <w:szCs w:val="24"/>
        </w:rPr>
        <w:t xml:space="preserve"> </w:t>
      </w:r>
      <w:r w:rsidR="001A3725" w:rsidRPr="009A59B7">
        <w:rPr>
          <w:rFonts w:ascii="Arial Narrow" w:hAnsi="Arial Narrow"/>
          <w:b w:val="0"/>
          <w:sz w:val="24"/>
          <w:szCs w:val="24"/>
        </w:rPr>
        <w:t xml:space="preserve"> </w:t>
      </w:r>
      <w:r w:rsidR="00594401" w:rsidRPr="009A59B7">
        <w:rPr>
          <w:rFonts w:ascii="Arial Narrow" w:hAnsi="Arial Narrow"/>
          <w:b w:val="0"/>
          <w:sz w:val="24"/>
          <w:szCs w:val="24"/>
        </w:rPr>
        <w:t>(</w:t>
      </w:r>
      <w:r w:rsidR="00CC5ECA">
        <w:rPr>
          <w:rFonts w:ascii="Arial Narrow" w:hAnsi="Arial Narrow"/>
          <w:b w:val="0"/>
          <w:sz w:val="24"/>
          <w:szCs w:val="24"/>
        </w:rPr>
        <w:t>treinta y cuatro</w:t>
      </w:r>
      <w:r w:rsidR="00F03B9F" w:rsidRPr="009A59B7">
        <w:rPr>
          <w:rFonts w:ascii="Arial Narrow" w:hAnsi="Arial Narrow"/>
          <w:b w:val="0"/>
          <w:sz w:val="24"/>
          <w:szCs w:val="24"/>
        </w:rPr>
        <w:t xml:space="preserve"> millones </w:t>
      </w:r>
      <w:r w:rsidR="00CC5ECA">
        <w:rPr>
          <w:rFonts w:ascii="Arial Narrow" w:hAnsi="Arial Narrow"/>
          <w:b w:val="0"/>
          <w:sz w:val="24"/>
          <w:szCs w:val="24"/>
        </w:rPr>
        <w:t>quinientos sesenta y cinco</w:t>
      </w:r>
      <w:r w:rsidR="00FB2FE7" w:rsidRPr="009A59B7">
        <w:rPr>
          <w:rFonts w:ascii="Arial Narrow" w:hAnsi="Arial Narrow"/>
          <w:b w:val="0"/>
          <w:sz w:val="24"/>
          <w:szCs w:val="24"/>
        </w:rPr>
        <w:t xml:space="preserve"> </w:t>
      </w:r>
      <w:r w:rsidR="00F03B9F" w:rsidRPr="009A59B7">
        <w:rPr>
          <w:rFonts w:ascii="Arial Narrow" w:hAnsi="Arial Narrow"/>
          <w:b w:val="0"/>
          <w:sz w:val="24"/>
          <w:szCs w:val="24"/>
        </w:rPr>
        <w:t xml:space="preserve">mil </w:t>
      </w:r>
      <w:r w:rsidR="00CC5ECA">
        <w:rPr>
          <w:rFonts w:ascii="Arial Narrow" w:hAnsi="Arial Narrow"/>
          <w:b w:val="0"/>
          <w:sz w:val="24"/>
          <w:szCs w:val="24"/>
        </w:rPr>
        <w:t>ochocientos</w:t>
      </w:r>
      <w:r w:rsidR="00D069E7">
        <w:rPr>
          <w:rFonts w:ascii="Arial Narrow" w:hAnsi="Arial Narrow"/>
          <w:b w:val="0"/>
          <w:sz w:val="24"/>
          <w:szCs w:val="24"/>
        </w:rPr>
        <w:t xml:space="preserve"> </w:t>
      </w:r>
      <w:r w:rsidR="00CC5ECA">
        <w:rPr>
          <w:rFonts w:ascii="Arial Narrow" w:hAnsi="Arial Narrow"/>
          <w:b w:val="0"/>
          <w:sz w:val="24"/>
          <w:szCs w:val="24"/>
        </w:rPr>
        <w:t xml:space="preserve">treinta </w:t>
      </w:r>
      <w:r w:rsidR="00D069E7">
        <w:rPr>
          <w:rFonts w:ascii="Arial Narrow" w:hAnsi="Arial Narrow"/>
          <w:b w:val="0"/>
          <w:sz w:val="24"/>
          <w:szCs w:val="24"/>
        </w:rPr>
        <w:t xml:space="preserve">y </w:t>
      </w:r>
      <w:r w:rsidR="00CC5ECA">
        <w:rPr>
          <w:rFonts w:ascii="Arial Narrow" w:hAnsi="Arial Narrow"/>
          <w:b w:val="0"/>
          <w:sz w:val="24"/>
          <w:szCs w:val="24"/>
        </w:rPr>
        <w:t>ocho</w:t>
      </w:r>
      <w:r w:rsidR="00B55BC7" w:rsidRPr="009A59B7">
        <w:rPr>
          <w:rFonts w:ascii="Arial Narrow" w:hAnsi="Arial Narrow"/>
          <w:b w:val="0"/>
          <w:sz w:val="24"/>
          <w:szCs w:val="24"/>
        </w:rPr>
        <w:t xml:space="preserve"> </w:t>
      </w:r>
      <w:r w:rsidR="00250BFE" w:rsidRPr="009A59B7">
        <w:rPr>
          <w:rFonts w:ascii="Arial Narrow" w:hAnsi="Arial Narrow"/>
          <w:b w:val="0"/>
          <w:sz w:val="24"/>
          <w:szCs w:val="24"/>
        </w:rPr>
        <w:t>p</w:t>
      </w:r>
      <w:r w:rsidR="00594401" w:rsidRPr="009A59B7">
        <w:rPr>
          <w:rFonts w:ascii="Arial Narrow" w:hAnsi="Arial Narrow"/>
          <w:b w:val="0"/>
          <w:sz w:val="24"/>
          <w:szCs w:val="24"/>
        </w:rPr>
        <w:t xml:space="preserve">esos </w:t>
      </w:r>
      <w:r w:rsidR="00CC5ECA">
        <w:rPr>
          <w:rFonts w:ascii="Arial Narrow" w:hAnsi="Arial Narrow"/>
          <w:b w:val="0"/>
          <w:sz w:val="24"/>
          <w:szCs w:val="24"/>
        </w:rPr>
        <w:t>93</w:t>
      </w:r>
      <w:r w:rsidR="001A3725" w:rsidRPr="009A59B7">
        <w:rPr>
          <w:rFonts w:ascii="Arial Narrow" w:hAnsi="Arial Narrow"/>
          <w:b w:val="0"/>
          <w:sz w:val="24"/>
          <w:szCs w:val="24"/>
        </w:rPr>
        <w:t>/100 m.n.)</w:t>
      </w:r>
      <w:r w:rsidR="00DF289C" w:rsidRPr="009A59B7">
        <w:rPr>
          <w:rFonts w:ascii="Arial Narrow" w:hAnsi="Arial Narrow"/>
          <w:b w:val="0"/>
          <w:sz w:val="24"/>
          <w:szCs w:val="24"/>
        </w:rPr>
        <w:t xml:space="preserve"> </w:t>
      </w:r>
      <w:r w:rsidR="00CC70E2" w:rsidRPr="009A59B7">
        <w:rPr>
          <w:rFonts w:ascii="Arial Narrow" w:hAnsi="Arial Narrow"/>
          <w:b w:val="0"/>
          <w:sz w:val="24"/>
          <w:szCs w:val="24"/>
        </w:rPr>
        <w:t>derivado de la propia programación del presupuesto particularmente de</w:t>
      </w:r>
      <w:r w:rsidR="00A91315" w:rsidRPr="009A59B7">
        <w:rPr>
          <w:rFonts w:ascii="Arial Narrow" w:hAnsi="Arial Narrow"/>
          <w:b w:val="0"/>
          <w:sz w:val="24"/>
          <w:szCs w:val="24"/>
        </w:rPr>
        <w:t xml:space="preserve"> la siguiente manera:</w:t>
      </w:r>
    </w:p>
    <w:p w:rsidR="00424F9D" w:rsidRPr="00424F9D" w:rsidRDefault="00424F9D" w:rsidP="00424F9D">
      <w:pPr>
        <w:pStyle w:val="Ttulo2"/>
        <w:spacing w:before="0" w:beforeAutospacing="0" w:after="0" w:afterAutospacing="0"/>
        <w:jc w:val="both"/>
        <w:rPr>
          <w:rFonts w:ascii="Arial Narrow" w:hAnsi="Arial Narrow" w:cs="Arial"/>
          <w:b w:val="0"/>
          <w:bCs w:val="0"/>
          <w:color w:val="000000"/>
          <w:sz w:val="24"/>
          <w:szCs w:val="24"/>
        </w:rPr>
      </w:pPr>
    </w:p>
    <w:tbl>
      <w:tblPr>
        <w:tblW w:w="7441" w:type="dxa"/>
        <w:tblInd w:w="1041" w:type="dxa"/>
        <w:tblCellMar>
          <w:left w:w="70" w:type="dxa"/>
          <w:right w:w="70" w:type="dxa"/>
        </w:tblCellMar>
        <w:tblLook w:val="04A0" w:firstRow="1" w:lastRow="0" w:firstColumn="1" w:lastColumn="0" w:noHBand="0" w:noVBand="1"/>
      </w:tblPr>
      <w:tblGrid>
        <w:gridCol w:w="880"/>
        <w:gridCol w:w="4540"/>
        <w:gridCol w:w="2021"/>
      </w:tblGrid>
      <w:tr w:rsidR="00C466F1" w:rsidRPr="00C466F1" w:rsidTr="00C466F1">
        <w:trPr>
          <w:trHeight w:val="182"/>
        </w:trPr>
        <w:tc>
          <w:tcPr>
            <w:tcW w:w="88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C466F1" w:rsidRPr="00C466F1" w:rsidRDefault="008A325E" w:rsidP="003252AD">
            <w:pPr>
              <w:spacing w:after="0" w:line="240" w:lineRule="auto"/>
              <w:jc w:val="center"/>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Capí</w:t>
            </w:r>
            <w:r w:rsidR="00C466F1" w:rsidRPr="00C466F1">
              <w:rPr>
                <w:rFonts w:ascii="Arial Narrow" w:eastAsia="Times New Roman" w:hAnsi="Arial Narrow" w:cs="Calibri"/>
                <w:color w:val="000000"/>
                <w:sz w:val="20"/>
                <w:szCs w:val="20"/>
                <w:lang w:eastAsia="es-MX"/>
              </w:rPr>
              <w:t>tulo</w:t>
            </w:r>
          </w:p>
        </w:tc>
        <w:tc>
          <w:tcPr>
            <w:tcW w:w="4540" w:type="dxa"/>
            <w:tcBorders>
              <w:top w:val="double" w:sz="6" w:space="0" w:color="auto"/>
              <w:left w:val="nil"/>
              <w:bottom w:val="single" w:sz="4" w:space="0" w:color="auto"/>
              <w:right w:val="single" w:sz="4" w:space="0" w:color="auto"/>
            </w:tcBorders>
            <w:shd w:val="clear" w:color="auto" w:fill="auto"/>
            <w:noWrap/>
            <w:vAlign w:val="bottom"/>
            <w:hideMark/>
          </w:tcPr>
          <w:p w:rsidR="00C466F1" w:rsidRPr="00C466F1" w:rsidRDefault="00C466F1" w:rsidP="003252AD">
            <w:pPr>
              <w:spacing w:after="0" w:line="240" w:lineRule="auto"/>
              <w:jc w:val="center"/>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Concepto</w:t>
            </w:r>
          </w:p>
        </w:tc>
        <w:tc>
          <w:tcPr>
            <w:tcW w:w="2021" w:type="dxa"/>
            <w:tcBorders>
              <w:top w:val="double" w:sz="6" w:space="0" w:color="auto"/>
              <w:left w:val="nil"/>
              <w:bottom w:val="single" w:sz="4" w:space="0" w:color="auto"/>
              <w:right w:val="double" w:sz="6" w:space="0" w:color="auto"/>
            </w:tcBorders>
            <w:shd w:val="clear" w:color="auto" w:fill="auto"/>
            <w:noWrap/>
            <w:vAlign w:val="bottom"/>
            <w:hideMark/>
          </w:tcPr>
          <w:p w:rsidR="00C466F1" w:rsidRPr="00C466F1" w:rsidRDefault="00C466F1" w:rsidP="003252AD">
            <w:pPr>
              <w:spacing w:after="0" w:line="240" w:lineRule="auto"/>
              <w:jc w:val="center"/>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Devengado</w:t>
            </w:r>
          </w:p>
        </w:tc>
      </w:tr>
      <w:tr w:rsidR="00C466F1" w:rsidRPr="00C466F1" w:rsidTr="00C466F1">
        <w:trPr>
          <w:trHeight w:val="93"/>
        </w:trPr>
        <w:tc>
          <w:tcPr>
            <w:tcW w:w="880" w:type="dxa"/>
            <w:tcBorders>
              <w:top w:val="nil"/>
              <w:left w:val="double" w:sz="6" w:space="0" w:color="auto"/>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jc w:val="right"/>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1000</w:t>
            </w:r>
          </w:p>
        </w:tc>
        <w:tc>
          <w:tcPr>
            <w:tcW w:w="4540" w:type="dxa"/>
            <w:tcBorders>
              <w:top w:val="nil"/>
              <w:left w:val="nil"/>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Servicios Personales</w:t>
            </w:r>
          </w:p>
        </w:tc>
        <w:tc>
          <w:tcPr>
            <w:tcW w:w="2021" w:type="dxa"/>
            <w:tcBorders>
              <w:top w:val="nil"/>
              <w:left w:val="nil"/>
              <w:bottom w:val="single" w:sz="4" w:space="0" w:color="auto"/>
              <w:right w:val="double" w:sz="6" w:space="0" w:color="auto"/>
            </w:tcBorders>
            <w:shd w:val="clear" w:color="auto" w:fill="auto"/>
            <w:noWrap/>
            <w:vAlign w:val="bottom"/>
            <w:hideMark/>
          </w:tcPr>
          <w:p w:rsidR="00C466F1" w:rsidRPr="00C466F1" w:rsidRDefault="00C466F1" w:rsidP="00CC5ECA">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 xml:space="preserve"> $ </w:t>
            </w:r>
            <w:r w:rsidR="008A325E">
              <w:rPr>
                <w:rFonts w:ascii="Arial Narrow" w:eastAsia="Times New Roman" w:hAnsi="Arial Narrow" w:cs="Calibri"/>
                <w:color w:val="000000"/>
                <w:sz w:val="20"/>
                <w:szCs w:val="20"/>
                <w:lang w:eastAsia="es-MX"/>
              </w:rPr>
              <w:t xml:space="preserve"> </w:t>
            </w:r>
            <w:r w:rsidRPr="00C466F1">
              <w:rPr>
                <w:rFonts w:ascii="Arial Narrow" w:eastAsia="Times New Roman" w:hAnsi="Arial Narrow" w:cs="Calibri"/>
                <w:color w:val="000000"/>
                <w:sz w:val="20"/>
                <w:szCs w:val="20"/>
                <w:lang w:eastAsia="es-MX"/>
              </w:rPr>
              <w:t>1,</w:t>
            </w:r>
            <w:r w:rsidR="00CC5ECA">
              <w:rPr>
                <w:rFonts w:ascii="Arial Narrow" w:eastAsia="Times New Roman" w:hAnsi="Arial Narrow" w:cs="Calibri"/>
                <w:color w:val="000000"/>
                <w:sz w:val="20"/>
                <w:szCs w:val="20"/>
                <w:lang w:eastAsia="es-MX"/>
              </w:rPr>
              <w:t>343,194,274.95</w:t>
            </w:r>
            <w:r w:rsidRPr="00C466F1">
              <w:rPr>
                <w:rFonts w:ascii="Arial Narrow" w:eastAsia="Times New Roman" w:hAnsi="Arial Narrow" w:cs="Calibri"/>
                <w:color w:val="000000"/>
                <w:sz w:val="20"/>
                <w:szCs w:val="20"/>
                <w:lang w:eastAsia="es-MX"/>
              </w:rPr>
              <w:t xml:space="preserve"> </w:t>
            </w:r>
          </w:p>
        </w:tc>
      </w:tr>
      <w:tr w:rsidR="00C466F1" w:rsidRPr="00C466F1" w:rsidTr="00C466F1">
        <w:trPr>
          <w:trHeight w:val="139"/>
        </w:trPr>
        <w:tc>
          <w:tcPr>
            <w:tcW w:w="880" w:type="dxa"/>
            <w:tcBorders>
              <w:top w:val="nil"/>
              <w:left w:val="double" w:sz="6" w:space="0" w:color="auto"/>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jc w:val="right"/>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2000</w:t>
            </w:r>
          </w:p>
        </w:tc>
        <w:tc>
          <w:tcPr>
            <w:tcW w:w="4540" w:type="dxa"/>
            <w:tcBorders>
              <w:top w:val="nil"/>
              <w:left w:val="nil"/>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Materiales y Suministros</w:t>
            </w:r>
          </w:p>
        </w:tc>
        <w:tc>
          <w:tcPr>
            <w:tcW w:w="2021" w:type="dxa"/>
            <w:tcBorders>
              <w:top w:val="nil"/>
              <w:left w:val="nil"/>
              <w:bottom w:val="single" w:sz="4" w:space="0" w:color="auto"/>
              <w:right w:val="double" w:sz="6" w:space="0" w:color="auto"/>
            </w:tcBorders>
            <w:shd w:val="clear" w:color="auto" w:fill="auto"/>
            <w:noWrap/>
            <w:vAlign w:val="bottom"/>
            <w:hideMark/>
          </w:tcPr>
          <w:p w:rsidR="00C466F1" w:rsidRPr="00C466F1" w:rsidRDefault="00C466F1" w:rsidP="00CC5ECA">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 xml:space="preserve"> $       </w:t>
            </w:r>
            <w:r w:rsidR="00CC5ECA">
              <w:rPr>
                <w:rFonts w:ascii="Arial Narrow" w:eastAsia="Times New Roman" w:hAnsi="Arial Narrow" w:cs="Calibri"/>
                <w:color w:val="000000"/>
                <w:sz w:val="20"/>
                <w:szCs w:val="20"/>
                <w:lang w:eastAsia="es-MX"/>
              </w:rPr>
              <w:t>19,658,354.99</w:t>
            </w:r>
            <w:r w:rsidRPr="00C466F1">
              <w:rPr>
                <w:rFonts w:ascii="Arial Narrow" w:eastAsia="Times New Roman" w:hAnsi="Arial Narrow" w:cs="Calibri"/>
                <w:color w:val="000000"/>
                <w:sz w:val="20"/>
                <w:szCs w:val="20"/>
                <w:lang w:eastAsia="es-MX"/>
              </w:rPr>
              <w:t xml:space="preserve"> </w:t>
            </w:r>
          </w:p>
        </w:tc>
      </w:tr>
      <w:tr w:rsidR="00C466F1" w:rsidRPr="00C466F1" w:rsidTr="00C466F1">
        <w:trPr>
          <w:trHeight w:val="186"/>
        </w:trPr>
        <w:tc>
          <w:tcPr>
            <w:tcW w:w="880" w:type="dxa"/>
            <w:tcBorders>
              <w:top w:val="nil"/>
              <w:left w:val="double" w:sz="6" w:space="0" w:color="auto"/>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jc w:val="right"/>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3000</w:t>
            </w:r>
          </w:p>
        </w:tc>
        <w:tc>
          <w:tcPr>
            <w:tcW w:w="4540" w:type="dxa"/>
            <w:tcBorders>
              <w:top w:val="nil"/>
              <w:left w:val="nil"/>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Servicios Generales</w:t>
            </w:r>
          </w:p>
        </w:tc>
        <w:tc>
          <w:tcPr>
            <w:tcW w:w="2021" w:type="dxa"/>
            <w:tcBorders>
              <w:top w:val="nil"/>
              <w:left w:val="nil"/>
              <w:bottom w:val="single" w:sz="4" w:space="0" w:color="auto"/>
              <w:right w:val="double" w:sz="6" w:space="0" w:color="auto"/>
            </w:tcBorders>
            <w:shd w:val="clear" w:color="auto" w:fill="auto"/>
            <w:noWrap/>
            <w:vAlign w:val="bottom"/>
            <w:hideMark/>
          </w:tcPr>
          <w:p w:rsidR="00C466F1" w:rsidRPr="00C466F1" w:rsidRDefault="00CC5ECA" w:rsidP="00C466F1">
            <w:pPr>
              <w:spacing w:after="0" w:line="240" w:lineRule="auto"/>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xml:space="preserve"> $     108,712,976.03</w:t>
            </w:r>
            <w:r w:rsidR="00C466F1" w:rsidRPr="00C466F1">
              <w:rPr>
                <w:rFonts w:ascii="Arial Narrow" w:eastAsia="Times New Roman" w:hAnsi="Arial Narrow" w:cs="Calibri"/>
                <w:color w:val="000000"/>
                <w:sz w:val="20"/>
                <w:szCs w:val="20"/>
                <w:lang w:eastAsia="es-MX"/>
              </w:rPr>
              <w:t xml:space="preserve"> </w:t>
            </w:r>
          </w:p>
        </w:tc>
      </w:tr>
      <w:tr w:rsidR="00C466F1" w:rsidRPr="00C466F1" w:rsidTr="00C466F1">
        <w:trPr>
          <w:trHeight w:val="231"/>
        </w:trPr>
        <w:tc>
          <w:tcPr>
            <w:tcW w:w="880" w:type="dxa"/>
            <w:tcBorders>
              <w:top w:val="nil"/>
              <w:left w:val="double" w:sz="6" w:space="0" w:color="auto"/>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jc w:val="right"/>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4000</w:t>
            </w:r>
          </w:p>
        </w:tc>
        <w:tc>
          <w:tcPr>
            <w:tcW w:w="4540" w:type="dxa"/>
            <w:tcBorders>
              <w:top w:val="nil"/>
              <w:left w:val="nil"/>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Transferencias, Asignaciones, subsidios y Otras</w:t>
            </w:r>
          </w:p>
        </w:tc>
        <w:tc>
          <w:tcPr>
            <w:tcW w:w="2021" w:type="dxa"/>
            <w:tcBorders>
              <w:top w:val="nil"/>
              <w:left w:val="nil"/>
              <w:bottom w:val="single" w:sz="4" w:space="0" w:color="auto"/>
              <w:right w:val="double" w:sz="6" w:space="0" w:color="auto"/>
            </w:tcBorders>
            <w:shd w:val="clear" w:color="auto" w:fill="auto"/>
            <w:noWrap/>
            <w:vAlign w:val="bottom"/>
            <w:hideMark/>
          </w:tcPr>
          <w:p w:rsidR="00C466F1" w:rsidRPr="00C466F1" w:rsidRDefault="008A325E" w:rsidP="00C466F1">
            <w:pPr>
              <w:spacing w:after="0" w:line="240" w:lineRule="auto"/>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xml:space="preserve"> $            </w:t>
            </w:r>
            <w:r w:rsidR="00C466F1" w:rsidRPr="00C466F1">
              <w:rPr>
                <w:rFonts w:ascii="Arial Narrow" w:eastAsia="Times New Roman" w:hAnsi="Arial Narrow" w:cs="Calibri"/>
                <w:color w:val="000000"/>
                <w:sz w:val="20"/>
                <w:szCs w:val="20"/>
                <w:lang w:eastAsia="es-MX"/>
              </w:rPr>
              <w:t xml:space="preserve">  81,250.00 </w:t>
            </w:r>
          </w:p>
        </w:tc>
      </w:tr>
      <w:tr w:rsidR="00C466F1" w:rsidRPr="00C466F1" w:rsidTr="00C466F1">
        <w:trPr>
          <w:trHeight w:val="264"/>
        </w:trPr>
        <w:tc>
          <w:tcPr>
            <w:tcW w:w="880" w:type="dxa"/>
            <w:tcBorders>
              <w:top w:val="nil"/>
              <w:left w:val="double" w:sz="6" w:space="0" w:color="auto"/>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jc w:val="right"/>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5000</w:t>
            </w:r>
          </w:p>
        </w:tc>
        <w:tc>
          <w:tcPr>
            <w:tcW w:w="4540" w:type="dxa"/>
            <w:tcBorders>
              <w:top w:val="nil"/>
              <w:left w:val="nil"/>
              <w:bottom w:val="single" w:sz="4" w:space="0" w:color="auto"/>
              <w:right w:val="single" w:sz="4" w:space="0" w:color="auto"/>
            </w:tcBorders>
            <w:shd w:val="clear" w:color="auto" w:fill="auto"/>
            <w:noWrap/>
            <w:vAlign w:val="bottom"/>
            <w:hideMark/>
          </w:tcPr>
          <w:p w:rsidR="00C466F1" w:rsidRPr="00C466F1" w:rsidRDefault="00C466F1" w:rsidP="00C466F1">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 xml:space="preserve">Bienes muebles, inmuebles e intangibles </w:t>
            </w:r>
          </w:p>
        </w:tc>
        <w:tc>
          <w:tcPr>
            <w:tcW w:w="2021" w:type="dxa"/>
            <w:tcBorders>
              <w:top w:val="nil"/>
              <w:left w:val="nil"/>
              <w:bottom w:val="single" w:sz="4" w:space="0" w:color="auto"/>
              <w:right w:val="double" w:sz="6" w:space="0" w:color="auto"/>
            </w:tcBorders>
            <w:shd w:val="clear" w:color="auto" w:fill="auto"/>
            <w:noWrap/>
            <w:vAlign w:val="bottom"/>
            <w:hideMark/>
          </w:tcPr>
          <w:p w:rsidR="00C466F1" w:rsidRPr="00C466F1" w:rsidRDefault="00C466F1" w:rsidP="00CC5ECA">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 xml:space="preserve"> $       </w:t>
            </w:r>
            <w:r w:rsidR="00CC5ECA">
              <w:rPr>
                <w:rFonts w:ascii="Arial Narrow" w:eastAsia="Times New Roman" w:hAnsi="Arial Narrow" w:cs="Calibri"/>
                <w:color w:val="000000"/>
                <w:sz w:val="20"/>
                <w:szCs w:val="20"/>
                <w:lang w:eastAsia="es-MX"/>
              </w:rPr>
              <w:t>41,939,470.71</w:t>
            </w:r>
            <w:r w:rsidRPr="00C466F1">
              <w:rPr>
                <w:rFonts w:ascii="Arial Narrow" w:eastAsia="Times New Roman" w:hAnsi="Arial Narrow" w:cs="Calibri"/>
                <w:color w:val="000000"/>
                <w:sz w:val="20"/>
                <w:szCs w:val="20"/>
                <w:lang w:eastAsia="es-MX"/>
              </w:rPr>
              <w:t xml:space="preserve"> </w:t>
            </w:r>
          </w:p>
        </w:tc>
      </w:tr>
      <w:tr w:rsidR="00C466F1" w:rsidRPr="00C466F1" w:rsidTr="008A325E">
        <w:trPr>
          <w:trHeight w:val="267"/>
        </w:trPr>
        <w:tc>
          <w:tcPr>
            <w:tcW w:w="880" w:type="dxa"/>
            <w:tcBorders>
              <w:top w:val="nil"/>
              <w:left w:val="double" w:sz="6" w:space="0" w:color="auto"/>
              <w:bottom w:val="double" w:sz="6" w:space="0" w:color="auto"/>
              <w:right w:val="single" w:sz="4" w:space="0" w:color="auto"/>
            </w:tcBorders>
            <w:shd w:val="clear" w:color="auto" w:fill="auto"/>
            <w:noWrap/>
            <w:vAlign w:val="bottom"/>
            <w:hideMark/>
          </w:tcPr>
          <w:p w:rsidR="00C466F1" w:rsidRPr="00C466F1" w:rsidRDefault="00C466F1" w:rsidP="00C466F1">
            <w:pPr>
              <w:spacing w:after="0" w:line="240" w:lineRule="auto"/>
              <w:jc w:val="right"/>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6000</w:t>
            </w:r>
          </w:p>
        </w:tc>
        <w:tc>
          <w:tcPr>
            <w:tcW w:w="4540" w:type="dxa"/>
            <w:tcBorders>
              <w:top w:val="nil"/>
              <w:left w:val="nil"/>
              <w:bottom w:val="double" w:sz="6" w:space="0" w:color="auto"/>
              <w:right w:val="single" w:sz="4" w:space="0" w:color="auto"/>
            </w:tcBorders>
            <w:shd w:val="clear" w:color="auto" w:fill="auto"/>
            <w:noWrap/>
            <w:vAlign w:val="bottom"/>
            <w:hideMark/>
          </w:tcPr>
          <w:p w:rsidR="00C466F1" w:rsidRPr="00C466F1" w:rsidRDefault="00C466F1" w:rsidP="00C466F1">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Inversión pública</w:t>
            </w:r>
          </w:p>
        </w:tc>
        <w:tc>
          <w:tcPr>
            <w:tcW w:w="2021" w:type="dxa"/>
            <w:tcBorders>
              <w:top w:val="nil"/>
              <w:left w:val="nil"/>
              <w:bottom w:val="double" w:sz="6" w:space="0" w:color="auto"/>
              <w:right w:val="double" w:sz="6" w:space="0" w:color="auto"/>
            </w:tcBorders>
            <w:shd w:val="clear" w:color="auto" w:fill="auto"/>
            <w:noWrap/>
            <w:vAlign w:val="bottom"/>
            <w:hideMark/>
          </w:tcPr>
          <w:p w:rsidR="00C466F1" w:rsidRPr="00C466F1" w:rsidRDefault="00CC5ECA" w:rsidP="00C466F1">
            <w:pPr>
              <w:spacing w:after="0" w:line="240" w:lineRule="auto"/>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xml:space="preserve"> $         3,255,503.68</w:t>
            </w:r>
            <w:r w:rsidR="00C466F1" w:rsidRPr="00C466F1">
              <w:rPr>
                <w:rFonts w:ascii="Arial Narrow" w:eastAsia="Times New Roman" w:hAnsi="Arial Narrow" w:cs="Calibri"/>
                <w:color w:val="000000"/>
                <w:sz w:val="20"/>
                <w:szCs w:val="20"/>
                <w:lang w:eastAsia="es-MX"/>
              </w:rPr>
              <w:t xml:space="preserve"> </w:t>
            </w:r>
          </w:p>
        </w:tc>
      </w:tr>
      <w:tr w:rsidR="00C466F1" w:rsidRPr="00C466F1" w:rsidTr="008A325E">
        <w:trPr>
          <w:trHeight w:val="249"/>
        </w:trPr>
        <w:tc>
          <w:tcPr>
            <w:tcW w:w="880" w:type="dxa"/>
            <w:tcBorders>
              <w:top w:val="nil"/>
              <w:left w:val="nil"/>
              <w:bottom w:val="nil"/>
              <w:right w:val="nil"/>
            </w:tcBorders>
            <w:shd w:val="clear" w:color="auto" w:fill="auto"/>
            <w:noWrap/>
            <w:vAlign w:val="bottom"/>
            <w:hideMark/>
          </w:tcPr>
          <w:p w:rsidR="00C466F1" w:rsidRPr="00C466F1" w:rsidRDefault="00C466F1" w:rsidP="00C466F1">
            <w:pPr>
              <w:spacing w:after="0" w:line="240" w:lineRule="auto"/>
              <w:rPr>
                <w:rFonts w:ascii="Arial Narrow" w:eastAsia="Times New Roman" w:hAnsi="Arial Narrow" w:cs="Calibri"/>
                <w:color w:val="000000"/>
                <w:sz w:val="20"/>
                <w:szCs w:val="20"/>
                <w:lang w:eastAsia="es-MX"/>
              </w:rPr>
            </w:pPr>
          </w:p>
        </w:tc>
        <w:tc>
          <w:tcPr>
            <w:tcW w:w="454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C466F1" w:rsidRPr="00C466F1" w:rsidRDefault="00C466F1" w:rsidP="00C466F1">
            <w:pPr>
              <w:spacing w:after="0" w:line="240" w:lineRule="auto"/>
              <w:jc w:val="right"/>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Total devengado</w:t>
            </w:r>
          </w:p>
        </w:tc>
        <w:tc>
          <w:tcPr>
            <w:tcW w:w="2021" w:type="dxa"/>
            <w:tcBorders>
              <w:top w:val="double" w:sz="6" w:space="0" w:color="auto"/>
              <w:left w:val="nil"/>
              <w:bottom w:val="double" w:sz="6" w:space="0" w:color="auto"/>
              <w:right w:val="double" w:sz="6" w:space="0" w:color="auto"/>
            </w:tcBorders>
            <w:shd w:val="clear" w:color="auto" w:fill="auto"/>
            <w:noWrap/>
            <w:vAlign w:val="bottom"/>
            <w:hideMark/>
          </w:tcPr>
          <w:p w:rsidR="00C466F1" w:rsidRPr="00C466F1" w:rsidRDefault="00C466F1" w:rsidP="008A325E">
            <w:pPr>
              <w:spacing w:after="0" w:line="240" w:lineRule="auto"/>
              <w:rPr>
                <w:rFonts w:ascii="Arial Narrow" w:eastAsia="Times New Roman" w:hAnsi="Arial Narrow" w:cs="Calibri"/>
                <w:color w:val="000000"/>
                <w:sz w:val="20"/>
                <w:szCs w:val="20"/>
                <w:lang w:eastAsia="es-MX"/>
              </w:rPr>
            </w:pPr>
            <w:r w:rsidRPr="00C466F1">
              <w:rPr>
                <w:rFonts w:ascii="Arial Narrow" w:eastAsia="Times New Roman" w:hAnsi="Arial Narrow" w:cs="Calibri"/>
                <w:color w:val="000000"/>
                <w:sz w:val="20"/>
                <w:szCs w:val="20"/>
                <w:lang w:eastAsia="es-MX"/>
              </w:rPr>
              <w:t xml:space="preserve"> $ </w:t>
            </w:r>
            <w:r w:rsidR="00CC5ECA">
              <w:rPr>
                <w:rFonts w:ascii="Arial Narrow" w:eastAsia="Times New Roman" w:hAnsi="Arial Narrow" w:cs="Calibri"/>
                <w:color w:val="000000"/>
                <w:sz w:val="20"/>
                <w:szCs w:val="20"/>
                <w:lang w:eastAsia="es-MX"/>
              </w:rPr>
              <w:t xml:space="preserve"> </w:t>
            </w:r>
            <w:r w:rsidRPr="00C466F1">
              <w:rPr>
                <w:rFonts w:ascii="Arial Narrow" w:eastAsia="Times New Roman" w:hAnsi="Arial Narrow" w:cs="Calibri"/>
                <w:color w:val="000000"/>
                <w:sz w:val="20"/>
                <w:szCs w:val="20"/>
                <w:lang w:eastAsia="es-MX"/>
              </w:rPr>
              <w:t>1,</w:t>
            </w:r>
            <w:r w:rsidR="008A325E">
              <w:rPr>
                <w:rFonts w:ascii="Arial Narrow" w:eastAsia="Times New Roman" w:hAnsi="Arial Narrow" w:cs="Calibri"/>
                <w:color w:val="000000"/>
                <w:sz w:val="20"/>
                <w:szCs w:val="20"/>
                <w:lang w:eastAsia="es-MX"/>
              </w:rPr>
              <w:t>516,841,830.36</w:t>
            </w:r>
            <w:r w:rsidRPr="00C466F1">
              <w:rPr>
                <w:rFonts w:ascii="Arial Narrow" w:eastAsia="Times New Roman" w:hAnsi="Arial Narrow" w:cs="Calibri"/>
                <w:color w:val="000000"/>
                <w:sz w:val="20"/>
                <w:szCs w:val="20"/>
                <w:lang w:eastAsia="es-MX"/>
              </w:rPr>
              <w:t xml:space="preserve"> </w:t>
            </w:r>
          </w:p>
        </w:tc>
      </w:tr>
    </w:tbl>
    <w:p w:rsidR="00E375AF" w:rsidRPr="00E375AF" w:rsidRDefault="00E375AF" w:rsidP="00E375AF">
      <w:pPr>
        <w:spacing w:after="0" w:line="276" w:lineRule="auto"/>
        <w:jc w:val="both"/>
        <w:rPr>
          <w:rFonts w:ascii="Arial Narrow" w:hAnsi="Arial Narrow" w:cs="Times New Roman"/>
          <w:sz w:val="16"/>
          <w:szCs w:val="16"/>
        </w:rPr>
      </w:pPr>
    </w:p>
    <w:p w:rsidR="00594401" w:rsidRPr="003252AD" w:rsidRDefault="00E375AF" w:rsidP="00E375AF">
      <w:pPr>
        <w:spacing w:after="0" w:line="276" w:lineRule="auto"/>
        <w:jc w:val="both"/>
        <w:rPr>
          <w:rFonts w:ascii="Arial Narrow" w:hAnsi="Arial Narrow" w:cs="Times New Roman"/>
          <w:sz w:val="24"/>
          <w:szCs w:val="24"/>
        </w:rPr>
      </w:pPr>
      <w:r w:rsidRPr="003252AD">
        <w:rPr>
          <w:rFonts w:ascii="Arial Narrow" w:hAnsi="Arial Narrow" w:cs="Times New Roman"/>
          <w:sz w:val="24"/>
          <w:szCs w:val="24"/>
        </w:rPr>
        <w:t>Lo relacionado al</w:t>
      </w:r>
      <w:r w:rsidR="000B012D" w:rsidRPr="003252AD">
        <w:rPr>
          <w:rFonts w:ascii="Arial Narrow" w:hAnsi="Arial Narrow" w:cs="Times New Roman"/>
          <w:sz w:val="24"/>
          <w:szCs w:val="24"/>
        </w:rPr>
        <w:t xml:space="preserve"> subsidio destinado a la tercera etapa de implementación de la Reforma al Sistema de Justicia Laboral </w:t>
      </w:r>
      <w:r w:rsidR="00815BCD" w:rsidRPr="003252AD">
        <w:rPr>
          <w:rFonts w:ascii="Arial Narrow" w:hAnsi="Arial Narrow" w:cs="Times New Roman"/>
          <w:sz w:val="24"/>
          <w:szCs w:val="24"/>
        </w:rPr>
        <w:t>por</w:t>
      </w:r>
      <w:r w:rsidR="000B012D" w:rsidRPr="003252AD">
        <w:rPr>
          <w:rFonts w:ascii="Arial Narrow" w:hAnsi="Arial Narrow" w:cs="Times New Roman"/>
          <w:sz w:val="24"/>
          <w:szCs w:val="24"/>
        </w:rPr>
        <w:t xml:space="preserve"> la Secretaría de Finanzas y Administración del Estado de Michoacán</w:t>
      </w:r>
      <w:r w:rsidRPr="003252AD">
        <w:rPr>
          <w:rFonts w:ascii="Arial Narrow" w:hAnsi="Arial Narrow" w:cs="Times New Roman"/>
          <w:sz w:val="24"/>
          <w:szCs w:val="24"/>
        </w:rPr>
        <w:t xml:space="preserve">, ha tenido </w:t>
      </w:r>
      <w:r w:rsidR="00815BCD" w:rsidRPr="003252AD">
        <w:rPr>
          <w:rFonts w:ascii="Arial Narrow" w:hAnsi="Arial Narrow" w:cs="Times New Roman"/>
          <w:sz w:val="24"/>
          <w:szCs w:val="24"/>
        </w:rPr>
        <w:t xml:space="preserve">los siguientes </w:t>
      </w:r>
      <w:r w:rsidRPr="003252AD">
        <w:rPr>
          <w:rFonts w:ascii="Arial Narrow" w:hAnsi="Arial Narrow" w:cs="Times New Roman"/>
          <w:sz w:val="24"/>
          <w:szCs w:val="24"/>
        </w:rPr>
        <w:t>movimiento</w:t>
      </w:r>
      <w:r w:rsidR="00815BCD" w:rsidRPr="003252AD">
        <w:rPr>
          <w:rFonts w:ascii="Arial Narrow" w:hAnsi="Arial Narrow" w:cs="Times New Roman"/>
          <w:sz w:val="24"/>
          <w:szCs w:val="24"/>
        </w:rPr>
        <w:t>s</w:t>
      </w:r>
      <w:r w:rsidRPr="003252AD">
        <w:rPr>
          <w:rFonts w:ascii="Arial Narrow" w:hAnsi="Arial Narrow" w:cs="Times New Roman"/>
          <w:sz w:val="24"/>
          <w:szCs w:val="24"/>
        </w:rPr>
        <w:t xml:space="preserve"> al mes de </w:t>
      </w:r>
      <w:r w:rsidR="00CC5ECA">
        <w:rPr>
          <w:rFonts w:ascii="Arial Narrow" w:hAnsi="Arial Narrow" w:cs="Times New Roman"/>
          <w:sz w:val="24"/>
          <w:szCs w:val="24"/>
        </w:rPr>
        <w:t>Dic</w:t>
      </w:r>
      <w:r w:rsidR="00C466F1" w:rsidRPr="003252AD">
        <w:rPr>
          <w:rFonts w:ascii="Arial Narrow" w:hAnsi="Arial Narrow" w:cs="Times New Roman"/>
          <w:sz w:val="24"/>
          <w:szCs w:val="24"/>
        </w:rPr>
        <w:t>iembre</w:t>
      </w:r>
      <w:r w:rsidRPr="003252AD">
        <w:rPr>
          <w:rFonts w:ascii="Arial Narrow" w:hAnsi="Arial Narrow" w:cs="Times New Roman"/>
          <w:sz w:val="24"/>
          <w:szCs w:val="24"/>
        </w:rPr>
        <w:t xml:space="preserve"> de 2022.</w:t>
      </w:r>
    </w:p>
    <w:tbl>
      <w:tblPr>
        <w:tblpPr w:leftFromText="141" w:rightFromText="141" w:vertAnchor="text" w:horzAnchor="margin" w:tblpXSpec="center" w:tblpY="200"/>
        <w:tblW w:w="7200" w:type="dxa"/>
        <w:tblCellMar>
          <w:left w:w="70" w:type="dxa"/>
          <w:right w:w="70" w:type="dxa"/>
        </w:tblCellMar>
        <w:tblLook w:val="04A0" w:firstRow="1" w:lastRow="0" w:firstColumn="1" w:lastColumn="0" w:noHBand="0" w:noVBand="1"/>
      </w:tblPr>
      <w:tblGrid>
        <w:gridCol w:w="880"/>
        <w:gridCol w:w="4540"/>
        <w:gridCol w:w="1780"/>
      </w:tblGrid>
      <w:tr w:rsidR="003252AD" w:rsidRPr="003252AD" w:rsidTr="008A325E">
        <w:trPr>
          <w:trHeight w:val="345"/>
        </w:trPr>
        <w:tc>
          <w:tcPr>
            <w:tcW w:w="88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3252AD" w:rsidRPr="003252AD" w:rsidRDefault="008A325E" w:rsidP="003252AD">
            <w:pPr>
              <w:spacing w:after="0" w:line="240" w:lineRule="auto"/>
              <w:jc w:val="center"/>
              <w:rPr>
                <w:rFonts w:ascii="Arial Narrow" w:eastAsia="Times New Roman" w:hAnsi="Arial Narrow" w:cs="Calibri"/>
                <w:sz w:val="20"/>
                <w:szCs w:val="20"/>
                <w:lang w:eastAsia="es-MX"/>
              </w:rPr>
            </w:pPr>
            <w:r>
              <w:rPr>
                <w:rFonts w:ascii="Arial Narrow" w:eastAsia="Times New Roman" w:hAnsi="Arial Narrow" w:cs="Calibri"/>
                <w:sz w:val="20"/>
                <w:szCs w:val="20"/>
                <w:lang w:eastAsia="es-MX"/>
              </w:rPr>
              <w:t>Capí</w:t>
            </w:r>
            <w:r w:rsidR="003252AD" w:rsidRPr="003252AD">
              <w:rPr>
                <w:rFonts w:ascii="Arial Narrow" w:eastAsia="Times New Roman" w:hAnsi="Arial Narrow" w:cs="Calibri"/>
                <w:sz w:val="20"/>
                <w:szCs w:val="20"/>
                <w:lang w:eastAsia="es-MX"/>
              </w:rPr>
              <w:t>tulo</w:t>
            </w:r>
          </w:p>
        </w:tc>
        <w:tc>
          <w:tcPr>
            <w:tcW w:w="4540" w:type="dxa"/>
            <w:tcBorders>
              <w:top w:val="double" w:sz="6" w:space="0" w:color="auto"/>
              <w:left w:val="nil"/>
              <w:bottom w:val="single" w:sz="4" w:space="0" w:color="auto"/>
              <w:right w:val="single" w:sz="4" w:space="0" w:color="auto"/>
            </w:tcBorders>
            <w:shd w:val="clear" w:color="auto" w:fill="auto"/>
            <w:noWrap/>
            <w:vAlign w:val="bottom"/>
            <w:hideMark/>
          </w:tcPr>
          <w:p w:rsidR="003252AD" w:rsidRPr="003252AD" w:rsidRDefault="003252AD" w:rsidP="003252AD">
            <w:pPr>
              <w:spacing w:after="0" w:line="240" w:lineRule="auto"/>
              <w:jc w:val="center"/>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Concepto</w:t>
            </w:r>
          </w:p>
        </w:tc>
        <w:tc>
          <w:tcPr>
            <w:tcW w:w="1780" w:type="dxa"/>
            <w:tcBorders>
              <w:top w:val="double" w:sz="6" w:space="0" w:color="auto"/>
              <w:left w:val="nil"/>
              <w:bottom w:val="single" w:sz="4" w:space="0" w:color="auto"/>
              <w:right w:val="double" w:sz="6" w:space="0" w:color="auto"/>
            </w:tcBorders>
            <w:shd w:val="clear" w:color="auto" w:fill="auto"/>
            <w:noWrap/>
            <w:vAlign w:val="bottom"/>
            <w:hideMark/>
          </w:tcPr>
          <w:p w:rsidR="003252AD" w:rsidRPr="003252AD" w:rsidRDefault="003252AD" w:rsidP="003252AD">
            <w:pPr>
              <w:spacing w:after="0" w:line="240" w:lineRule="auto"/>
              <w:jc w:val="center"/>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Devengado</w:t>
            </w:r>
          </w:p>
        </w:tc>
      </w:tr>
      <w:tr w:rsidR="003252AD" w:rsidRPr="003252AD" w:rsidTr="008A325E">
        <w:trPr>
          <w:trHeight w:val="162"/>
        </w:trPr>
        <w:tc>
          <w:tcPr>
            <w:tcW w:w="880" w:type="dxa"/>
            <w:tcBorders>
              <w:top w:val="nil"/>
              <w:left w:val="double" w:sz="6" w:space="0" w:color="auto"/>
              <w:bottom w:val="single" w:sz="4" w:space="0" w:color="auto"/>
              <w:right w:val="single" w:sz="4" w:space="0" w:color="auto"/>
            </w:tcBorders>
            <w:shd w:val="clear" w:color="auto" w:fill="auto"/>
            <w:noWrap/>
            <w:vAlign w:val="bottom"/>
            <w:hideMark/>
          </w:tcPr>
          <w:p w:rsidR="003252AD" w:rsidRPr="003252AD" w:rsidRDefault="003252AD" w:rsidP="003252AD">
            <w:pPr>
              <w:spacing w:after="0" w:line="240" w:lineRule="auto"/>
              <w:jc w:val="right"/>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2000</w:t>
            </w:r>
          </w:p>
        </w:tc>
        <w:tc>
          <w:tcPr>
            <w:tcW w:w="4540" w:type="dxa"/>
            <w:tcBorders>
              <w:top w:val="nil"/>
              <w:left w:val="nil"/>
              <w:bottom w:val="single" w:sz="4" w:space="0" w:color="auto"/>
              <w:right w:val="single" w:sz="4" w:space="0" w:color="auto"/>
            </w:tcBorders>
            <w:shd w:val="clear" w:color="auto" w:fill="auto"/>
            <w:noWrap/>
            <w:vAlign w:val="bottom"/>
            <w:hideMark/>
          </w:tcPr>
          <w:p w:rsidR="003252AD" w:rsidRPr="003252AD" w:rsidRDefault="003252AD" w:rsidP="003252AD">
            <w:pPr>
              <w:spacing w:after="0" w:line="240" w:lineRule="auto"/>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Materiales y Suministros</w:t>
            </w:r>
          </w:p>
        </w:tc>
        <w:tc>
          <w:tcPr>
            <w:tcW w:w="1780" w:type="dxa"/>
            <w:tcBorders>
              <w:top w:val="nil"/>
              <w:left w:val="nil"/>
              <w:bottom w:val="single" w:sz="4" w:space="0" w:color="auto"/>
              <w:right w:val="double" w:sz="6" w:space="0" w:color="auto"/>
            </w:tcBorders>
            <w:shd w:val="clear" w:color="auto" w:fill="auto"/>
            <w:noWrap/>
            <w:vAlign w:val="bottom"/>
            <w:hideMark/>
          </w:tcPr>
          <w:p w:rsidR="003252AD" w:rsidRPr="003252AD" w:rsidRDefault="003252AD" w:rsidP="003252AD">
            <w:pPr>
              <w:spacing w:after="0" w:line="240" w:lineRule="auto"/>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 xml:space="preserve"> $             161,607.77 </w:t>
            </w:r>
          </w:p>
        </w:tc>
      </w:tr>
      <w:tr w:rsidR="003252AD" w:rsidRPr="003252AD" w:rsidTr="008A325E">
        <w:trPr>
          <w:trHeight w:val="209"/>
        </w:trPr>
        <w:tc>
          <w:tcPr>
            <w:tcW w:w="880" w:type="dxa"/>
            <w:tcBorders>
              <w:top w:val="nil"/>
              <w:left w:val="double" w:sz="6" w:space="0" w:color="auto"/>
              <w:bottom w:val="single" w:sz="4" w:space="0" w:color="auto"/>
              <w:right w:val="single" w:sz="4" w:space="0" w:color="auto"/>
            </w:tcBorders>
            <w:shd w:val="clear" w:color="auto" w:fill="auto"/>
            <w:noWrap/>
            <w:vAlign w:val="bottom"/>
            <w:hideMark/>
          </w:tcPr>
          <w:p w:rsidR="003252AD" w:rsidRPr="003252AD" w:rsidRDefault="003252AD" w:rsidP="003252AD">
            <w:pPr>
              <w:spacing w:after="0" w:line="240" w:lineRule="auto"/>
              <w:jc w:val="right"/>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3000</w:t>
            </w:r>
          </w:p>
        </w:tc>
        <w:tc>
          <w:tcPr>
            <w:tcW w:w="4540" w:type="dxa"/>
            <w:tcBorders>
              <w:top w:val="nil"/>
              <w:left w:val="nil"/>
              <w:bottom w:val="single" w:sz="4" w:space="0" w:color="auto"/>
              <w:right w:val="single" w:sz="4" w:space="0" w:color="auto"/>
            </w:tcBorders>
            <w:shd w:val="clear" w:color="auto" w:fill="auto"/>
            <w:noWrap/>
            <w:vAlign w:val="bottom"/>
            <w:hideMark/>
          </w:tcPr>
          <w:p w:rsidR="003252AD" w:rsidRPr="003252AD" w:rsidRDefault="003252AD" w:rsidP="003252AD">
            <w:pPr>
              <w:spacing w:after="0" w:line="240" w:lineRule="auto"/>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Servicios Generales</w:t>
            </w:r>
          </w:p>
        </w:tc>
        <w:tc>
          <w:tcPr>
            <w:tcW w:w="1780" w:type="dxa"/>
            <w:tcBorders>
              <w:top w:val="nil"/>
              <w:left w:val="nil"/>
              <w:bottom w:val="single" w:sz="4" w:space="0" w:color="auto"/>
              <w:right w:val="double" w:sz="6" w:space="0" w:color="auto"/>
            </w:tcBorders>
            <w:shd w:val="clear" w:color="auto" w:fill="auto"/>
            <w:noWrap/>
            <w:vAlign w:val="bottom"/>
            <w:hideMark/>
          </w:tcPr>
          <w:p w:rsidR="003252AD" w:rsidRPr="003252AD" w:rsidRDefault="003252AD" w:rsidP="003252AD">
            <w:pPr>
              <w:spacing w:after="0" w:line="240" w:lineRule="auto"/>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 xml:space="preserve"> $         4,985,414.22 </w:t>
            </w:r>
          </w:p>
        </w:tc>
      </w:tr>
      <w:tr w:rsidR="003252AD" w:rsidRPr="003252AD" w:rsidTr="008A325E">
        <w:trPr>
          <w:trHeight w:val="255"/>
        </w:trPr>
        <w:tc>
          <w:tcPr>
            <w:tcW w:w="880" w:type="dxa"/>
            <w:tcBorders>
              <w:top w:val="nil"/>
              <w:left w:val="double" w:sz="6" w:space="0" w:color="auto"/>
              <w:bottom w:val="double" w:sz="6" w:space="0" w:color="auto"/>
              <w:right w:val="single" w:sz="4" w:space="0" w:color="auto"/>
            </w:tcBorders>
            <w:shd w:val="clear" w:color="auto" w:fill="auto"/>
            <w:noWrap/>
            <w:vAlign w:val="bottom"/>
            <w:hideMark/>
          </w:tcPr>
          <w:p w:rsidR="003252AD" w:rsidRPr="003252AD" w:rsidRDefault="003252AD" w:rsidP="003252AD">
            <w:pPr>
              <w:spacing w:after="0" w:line="240" w:lineRule="auto"/>
              <w:jc w:val="right"/>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5000</w:t>
            </w:r>
          </w:p>
        </w:tc>
        <w:tc>
          <w:tcPr>
            <w:tcW w:w="4540" w:type="dxa"/>
            <w:tcBorders>
              <w:top w:val="nil"/>
              <w:left w:val="nil"/>
              <w:bottom w:val="double" w:sz="6" w:space="0" w:color="auto"/>
              <w:right w:val="single" w:sz="4" w:space="0" w:color="auto"/>
            </w:tcBorders>
            <w:shd w:val="clear" w:color="auto" w:fill="auto"/>
            <w:noWrap/>
            <w:vAlign w:val="bottom"/>
            <w:hideMark/>
          </w:tcPr>
          <w:p w:rsidR="003252AD" w:rsidRPr="003252AD" w:rsidRDefault="003252AD" w:rsidP="003252AD">
            <w:pPr>
              <w:spacing w:after="0" w:line="240" w:lineRule="auto"/>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 xml:space="preserve">Bienes muebles, inmuebles e intangibles </w:t>
            </w:r>
          </w:p>
        </w:tc>
        <w:tc>
          <w:tcPr>
            <w:tcW w:w="1780" w:type="dxa"/>
            <w:tcBorders>
              <w:top w:val="nil"/>
              <w:left w:val="nil"/>
              <w:bottom w:val="double" w:sz="6" w:space="0" w:color="auto"/>
              <w:right w:val="double" w:sz="6" w:space="0" w:color="auto"/>
            </w:tcBorders>
            <w:shd w:val="clear" w:color="auto" w:fill="auto"/>
            <w:noWrap/>
            <w:vAlign w:val="bottom"/>
            <w:hideMark/>
          </w:tcPr>
          <w:p w:rsidR="003252AD" w:rsidRPr="003252AD" w:rsidRDefault="003252AD" w:rsidP="003252AD">
            <w:pPr>
              <w:spacing w:after="0" w:line="240" w:lineRule="auto"/>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 xml:space="preserve"> $       13,392,552.94 </w:t>
            </w:r>
          </w:p>
        </w:tc>
      </w:tr>
      <w:tr w:rsidR="003252AD" w:rsidRPr="003252AD" w:rsidTr="008A325E">
        <w:trPr>
          <w:trHeight w:val="283"/>
        </w:trPr>
        <w:tc>
          <w:tcPr>
            <w:tcW w:w="880" w:type="dxa"/>
            <w:tcBorders>
              <w:top w:val="nil"/>
              <w:left w:val="nil"/>
              <w:bottom w:val="nil"/>
              <w:right w:val="nil"/>
            </w:tcBorders>
            <w:shd w:val="clear" w:color="auto" w:fill="auto"/>
            <w:noWrap/>
            <w:vAlign w:val="bottom"/>
            <w:hideMark/>
          </w:tcPr>
          <w:p w:rsidR="003252AD" w:rsidRPr="003252AD" w:rsidRDefault="003252AD" w:rsidP="003252AD">
            <w:pPr>
              <w:spacing w:after="0" w:line="240" w:lineRule="auto"/>
              <w:rPr>
                <w:rFonts w:ascii="Arial Narrow" w:eastAsia="Times New Roman" w:hAnsi="Arial Narrow" w:cs="Calibri"/>
                <w:sz w:val="20"/>
                <w:szCs w:val="20"/>
                <w:lang w:eastAsia="es-MX"/>
              </w:rPr>
            </w:pPr>
          </w:p>
        </w:tc>
        <w:tc>
          <w:tcPr>
            <w:tcW w:w="454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3252AD" w:rsidRPr="003252AD" w:rsidRDefault="003252AD" w:rsidP="003252AD">
            <w:pPr>
              <w:spacing w:after="0" w:line="240" w:lineRule="auto"/>
              <w:jc w:val="right"/>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Total devengado</w:t>
            </w:r>
          </w:p>
        </w:tc>
        <w:tc>
          <w:tcPr>
            <w:tcW w:w="1780" w:type="dxa"/>
            <w:tcBorders>
              <w:top w:val="double" w:sz="6" w:space="0" w:color="auto"/>
              <w:left w:val="nil"/>
              <w:bottom w:val="double" w:sz="6" w:space="0" w:color="auto"/>
              <w:right w:val="double" w:sz="6" w:space="0" w:color="auto"/>
            </w:tcBorders>
            <w:shd w:val="clear" w:color="auto" w:fill="auto"/>
            <w:noWrap/>
            <w:vAlign w:val="bottom"/>
            <w:hideMark/>
          </w:tcPr>
          <w:p w:rsidR="003252AD" w:rsidRPr="003252AD" w:rsidRDefault="003252AD" w:rsidP="003252AD">
            <w:pPr>
              <w:spacing w:after="0" w:line="240" w:lineRule="auto"/>
              <w:rPr>
                <w:rFonts w:ascii="Arial Narrow" w:eastAsia="Times New Roman" w:hAnsi="Arial Narrow" w:cs="Calibri"/>
                <w:sz w:val="20"/>
                <w:szCs w:val="20"/>
                <w:lang w:eastAsia="es-MX"/>
              </w:rPr>
            </w:pPr>
            <w:r w:rsidRPr="003252AD">
              <w:rPr>
                <w:rFonts w:ascii="Arial Narrow" w:eastAsia="Times New Roman" w:hAnsi="Arial Narrow" w:cs="Calibri"/>
                <w:sz w:val="20"/>
                <w:szCs w:val="20"/>
                <w:lang w:eastAsia="es-MX"/>
              </w:rPr>
              <w:t xml:space="preserve"> $       18,539,574.93 </w:t>
            </w:r>
          </w:p>
        </w:tc>
      </w:tr>
    </w:tbl>
    <w:p w:rsidR="004D5489" w:rsidRPr="004D5489" w:rsidRDefault="00815BCD" w:rsidP="004D5489">
      <w:pPr>
        <w:spacing w:after="0" w:line="276" w:lineRule="auto"/>
        <w:jc w:val="center"/>
        <w:rPr>
          <w:color w:val="FF0000"/>
        </w:rPr>
      </w:pPr>
      <w:r w:rsidRPr="00A91C58">
        <w:fldChar w:fldCharType="begin"/>
      </w:r>
      <w:r w:rsidRPr="00A91C58">
        <w:instrText xml:space="preserve"> LINK </w:instrText>
      </w:r>
      <w:r w:rsidR="00571C58">
        <w:instrText xml:space="preserve">Excel.Sheet.12 "C:\\Users\\Usuario del STJEM\\Documents\\Cecilia\\tabla de desgloce financiamiento ZO laboral 2022..xlsx" "notas financiera!F32C2:F36C4" </w:instrText>
      </w:r>
      <w:r w:rsidRPr="00A91C58">
        <w:instrText xml:space="preserve">\a \f 4 \h  \* MERGEFORMAT </w:instrText>
      </w:r>
      <w:r w:rsidRPr="00A91C58">
        <w:fldChar w:fldCharType="separate"/>
      </w:r>
    </w:p>
    <w:p w:rsidR="003252AD" w:rsidRPr="00A91C58" w:rsidRDefault="00815BCD" w:rsidP="00E375AF">
      <w:pPr>
        <w:spacing w:after="0" w:line="276" w:lineRule="auto"/>
        <w:jc w:val="both"/>
        <w:rPr>
          <w:rFonts w:ascii="Arial Narrow" w:hAnsi="Arial Narrow" w:cs="Times New Roman"/>
          <w:color w:val="FF0000"/>
          <w:sz w:val="24"/>
          <w:szCs w:val="24"/>
        </w:rPr>
      </w:pPr>
      <w:r w:rsidRPr="00A91C58">
        <w:rPr>
          <w:rFonts w:ascii="Arial Narrow" w:hAnsi="Arial Narrow" w:cs="Times New Roman"/>
          <w:color w:val="FF0000"/>
          <w:sz w:val="24"/>
          <w:szCs w:val="24"/>
        </w:rPr>
        <w:fldChar w:fldCharType="end"/>
      </w:r>
    </w:p>
    <w:p w:rsidR="00815BCD" w:rsidRPr="00A91C58" w:rsidRDefault="00815BCD" w:rsidP="00E375AF">
      <w:pPr>
        <w:spacing w:after="0" w:line="276" w:lineRule="auto"/>
        <w:jc w:val="both"/>
        <w:rPr>
          <w:rFonts w:ascii="Arial Narrow" w:hAnsi="Arial Narrow" w:cs="Times New Roman"/>
          <w:color w:val="FF0000"/>
          <w:sz w:val="24"/>
          <w:szCs w:val="24"/>
        </w:rPr>
      </w:pPr>
    </w:p>
    <w:p w:rsidR="003252AD" w:rsidRDefault="003252AD" w:rsidP="00E253C9">
      <w:pPr>
        <w:spacing w:line="276" w:lineRule="auto"/>
        <w:jc w:val="both"/>
        <w:rPr>
          <w:rFonts w:ascii="Arial Narrow" w:hAnsi="Arial Narrow" w:cs="Times New Roman"/>
          <w:color w:val="FF0000"/>
          <w:sz w:val="24"/>
          <w:szCs w:val="24"/>
        </w:rPr>
      </w:pPr>
    </w:p>
    <w:p w:rsidR="003252AD" w:rsidRDefault="003252AD" w:rsidP="00E253C9">
      <w:pPr>
        <w:spacing w:line="276" w:lineRule="auto"/>
        <w:jc w:val="both"/>
        <w:rPr>
          <w:rFonts w:ascii="Arial Narrow" w:hAnsi="Arial Narrow" w:cs="Times New Roman"/>
          <w:color w:val="FF0000"/>
          <w:sz w:val="24"/>
          <w:szCs w:val="24"/>
        </w:rPr>
      </w:pPr>
    </w:p>
    <w:p w:rsidR="00E253C9" w:rsidRPr="004C348F" w:rsidRDefault="00E253C9" w:rsidP="00E253C9">
      <w:pPr>
        <w:spacing w:line="276" w:lineRule="auto"/>
        <w:jc w:val="both"/>
        <w:rPr>
          <w:rFonts w:ascii="Arial Narrow" w:hAnsi="Arial Narrow" w:cs="Times New Roman"/>
          <w:sz w:val="24"/>
          <w:szCs w:val="24"/>
        </w:rPr>
      </w:pPr>
      <w:r w:rsidRPr="004C348F">
        <w:rPr>
          <w:rFonts w:ascii="Arial Narrow" w:hAnsi="Arial Narrow" w:cs="Times New Roman"/>
          <w:sz w:val="24"/>
          <w:szCs w:val="24"/>
        </w:rPr>
        <w:t xml:space="preserve">En el mes de </w:t>
      </w:r>
      <w:r w:rsidR="00BF4084">
        <w:rPr>
          <w:rFonts w:ascii="Arial Narrow" w:hAnsi="Arial Narrow" w:cs="Times New Roman"/>
          <w:sz w:val="24"/>
          <w:szCs w:val="24"/>
        </w:rPr>
        <w:t>Dic</w:t>
      </w:r>
      <w:r w:rsidR="003252AD" w:rsidRPr="004C348F">
        <w:rPr>
          <w:rFonts w:ascii="Arial Narrow" w:hAnsi="Arial Narrow" w:cs="Times New Roman"/>
          <w:sz w:val="24"/>
          <w:szCs w:val="24"/>
        </w:rPr>
        <w:t>iembre</w:t>
      </w:r>
      <w:r w:rsidRPr="004C348F">
        <w:rPr>
          <w:rFonts w:ascii="Arial Narrow" w:hAnsi="Arial Narrow" w:cs="Times New Roman"/>
          <w:sz w:val="24"/>
          <w:szCs w:val="24"/>
        </w:rPr>
        <w:t xml:space="preserve"> se realizan movimientos de transferencias presupuestales compensadas entre capítulos de la siguiente manera:</w:t>
      </w:r>
    </w:p>
    <w:p w:rsidR="00E253C9" w:rsidRPr="004C348F" w:rsidRDefault="00E253C9" w:rsidP="00E253C9">
      <w:pPr>
        <w:spacing w:line="276" w:lineRule="auto"/>
        <w:jc w:val="both"/>
        <w:rPr>
          <w:rFonts w:ascii="Arial Narrow" w:hAnsi="Arial Narrow" w:cs="Times New Roman"/>
          <w:sz w:val="24"/>
          <w:szCs w:val="24"/>
        </w:rPr>
      </w:pPr>
      <w:r w:rsidRPr="004C348F">
        <w:rPr>
          <w:rFonts w:ascii="Arial Narrow" w:hAnsi="Arial Narrow" w:cs="Times New Roman"/>
          <w:sz w:val="24"/>
          <w:szCs w:val="24"/>
        </w:rPr>
        <w:t>La Comisión de Administración del Consejo del Poder Judicial del Estado de Michoacán en sesión celebrada con fecha 18 de octubre de 2022, mediante oficio número SA/CA/1596/2022 se autoriza realizar una transferencia presupuestal de la siguiente manera:</w:t>
      </w:r>
    </w:p>
    <w:p w:rsidR="00E253C9" w:rsidRPr="004C348F" w:rsidRDefault="00E253C9" w:rsidP="00BF4084">
      <w:pPr>
        <w:spacing w:line="276" w:lineRule="auto"/>
        <w:ind w:left="1134"/>
        <w:jc w:val="both"/>
        <w:rPr>
          <w:rFonts w:ascii="Arial Narrow" w:eastAsia="Times New Roman" w:hAnsi="Arial Narrow" w:cs="Calibri"/>
          <w:sz w:val="24"/>
          <w:szCs w:val="24"/>
          <w:lang w:eastAsia="es-MX"/>
        </w:rPr>
      </w:pPr>
      <w:r w:rsidRPr="004C348F">
        <w:rPr>
          <w:rFonts w:ascii="Arial Narrow" w:hAnsi="Arial Narrow" w:cs="Times New Roman"/>
          <w:sz w:val="24"/>
          <w:szCs w:val="24"/>
        </w:rPr>
        <w:t>Ampliación: 3000 Servicios Generales</w:t>
      </w:r>
      <w:r w:rsidRPr="004C348F">
        <w:rPr>
          <w:rFonts w:ascii="Arial Narrow" w:eastAsia="Times New Roman" w:hAnsi="Arial Narrow" w:cs="Calibri"/>
          <w:sz w:val="24"/>
          <w:szCs w:val="24"/>
          <w:lang w:eastAsia="es-MX"/>
        </w:rPr>
        <w:t xml:space="preserve"> $ 12, 255,169.26</w:t>
      </w:r>
    </w:p>
    <w:p w:rsidR="00E253C9" w:rsidRPr="004C348F" w:rsidRDefault="00E253C9" w:rsidP="00BF4084">
      <w:pPr>
        <w:spacing w:line="276" w:lineRule="auto"/>
        <w:ind w:left="1134"/>
        <w:jc w:val="both"/>
        <w:rPr>
          <w:rFonts w:ascii="Arial Narrow" w:eastAsia="Times New Roman" w:hAnsi="Arial Narrow" w:cs="Calibri"/>
          <w:sz w:val="24"/>
          <w:szCs w:val="24"/>
          <w:lang w:eastAsia="es-MX"/>
        </w:rPr>
      </w:pPr>
      <w:r w:rsidRPr="004C348F">
        <w:rPr>
          <w:rFonts w:ascii="Arial Narrow" w:eastAsia="Times New Roman" w:hAnsi="Arial Narrow" w:cs="Calibri"/>
          <w:sz w:val="24"/>
          <w:szCs w:val="24"/>
          <w:lang w:eastAsia="es-MX"/>
        </w:rPr>
        <w:t>Reducción: 1000 Servicios Personales $ 12, 255,169.26</w:t>
      </w:r>
    </w:p>
    <w:p w:rsidR="00E253C9" w:rsidRPr="004C348F" w:rsidRDefault="00E253C9" w:rsidP="00E253C9">
      <w:pPr>
        <w:spacing w:line="276" w:lineRule="auto"/>
        <w:jc w:val="both"/>
        <w:rPr>
          <w:rFonts w:ascii="Arial Narrow" w:hAnsi="Arial Narrow" w:cs="Times New Roman"/>
          <w:sz w:val="24"/>
          <w:szCs w:val="24"/>
        </w:rPr>
      </w:pPr>
      <w:r w:rsidRPr="004C348F">
        <w:rPr>
          <w:rFonts w:ascii="Arial Narrow" w:hAnsi="Arial Narrow" w:cs="Times New Roman"/>
          <w:sz w:val="24"/>
          <w:szCs w:val="24"/>
        </w:rPr>
        <w:t>La Comisión de Administración del Consejo del Poder Judicial del Estado de Michoacán en sesión celebrada con fecha 18 de octubre de 2022, mediante oficio número SA/CA/1598/2022 se autoriza realizar una transferencia presupuestal de la siguiente manera:</w:t>
      </w:r>
    </w:p>
    <w:p w:rsidR="00E253C9" w:rsidRPr="004C348F" w:rsidRDefault="00E253C9" w:rsidP="00BF4084">
      <w:pPr>
        <w:spacing w:line="276" w:lineRule="auto"/>
        <w:ind w:left="1134"/>
        <w:jc w:val="both"/>
        <w:rPr>
          <w:rFonts w:ascii="Arial Narrow" w:eastAsia="Times New Roman" w:hAnsi="Arial Narrow" w:cs="Calibri"/>
          <w:sz w:val="24"/>
          <w:szCs w:val="24"/>
          <w:lang w:eastAsia="es-MX"/>
        </w:rPr>
      </w:pPr>
      <w:r w:rsidRPr="004C348F">
        <w:rPr>
          <w:rFonts w:ascii="Arial Narrow" w:hAnsi="Arial Narrow" w:cs="Times New Roman"/>
          <w:sz w:val="24"/>
          <w:szCs w:val="24"/>
        </w:rPr>
        <w:t>Ampliación: 3000 Servicios Generales</w:t>
      </w:r>
      <w:r w:rsidRPr="004C348F">
        <w:rPr>
          <w:rFonts w:ascii="Arial Narrow" w:eastAsia="Times New Roman" w:hAnsi="Arial Narrow" w:cs="Calibri"/>
          <w:sz w:val="24"/>
          <w:szCs w:val="24"/>
          <w:lang w:eastAsia="es-MX"/>
        </w:rPr>
        <w:t xml:space="preserve"> $ 2, 713,851.84</w:t>
      </w:r>
    </w:p>
    <w:p w:rsidR="00E253C9" w:rsidRPr="004C348F" w:rsidRDefault="00E253C9" w:rsidP="00BF4084">
      <w:pPr>
        <w:spacing w:line="276" w:lineRule="auto"/>
        <w:ind w:left="1134"/>
        <w:jc w:val="both"/>
        <w:rPr>
          <w:rFonts w:ascii="Arial Narrow" w:eastAsia="Times New Roman" w:hAnsi="Arial Narrow" w:cs="Calibri"/>
          <w:sz w:val="24"/>
          <w:szCs w:val="24"/>
          <w:lang w:eastAsia="es-MX"/>
        </w:rPr>
      </w:pPr>
      <w:r w:rsidRPr="004C348F">
        <w:rPr>
          <w:rFonts w:ascii="Arial Narrow" w:eastAsia="Times New Roman" w:hAnsi="Arial Narrow" w:cs="Calibri"/>
          <w:sz w:val="24"/>
          <w:szCs w:val="24"/>
          <w:lang w:eastAsia="es-MX"/>
        </w:rPr>
        <w:t>Reducción: 1000 Servicios Personales $ 2, 713,851.84</w:t>
      </w:r>
    </w:p>
    <w:p w:rsidR="00090AA4" w:rsidRPr="004C348F" w:rsidRDefault="00E253C9" w:rsidP="00691EED">
      <w:pPr>
        <w:spacing w:line="276" w:lineRule="auto"/>
        <w:jc w:val="both"/>
        <w:rPr>
          <w:rFonts w:ascii="Arial Narrow" w:hAnsi="Arial Narrow" w:cs="Times New Roman"/>
          <w:sz w:val="24"/>
          <w:szCs w:val="24"/>
        </w:rPr>
      </w:pPr>
      <w:r w:rsidRPr="004C348F">
        <w:rPr>
          <w:rFonts w:ascii="Arial Narrow" w:hAnsi="Arial Narrow" w:cs="Times New Roman"/>
          <w:sz w:val="24"/>
          <w:szCs w:val="24"/>
        </w:rPr>
        <w:lastRenderedPageBreak/>
        <w:t>L</w:t>
      </w:r>
      <w:r w:rsidR="000C5086" w:rsidRPr="004C348F">
        <w:rPr>
          <w:rFonts w:ascii="Arial Narrow" w:hAnsi="Arial Narrow" w:cs="Times New Roman"/>
          <w:sz w:val="24"/>
          <w:szCs w:val="24"/>
        </w:rPr>
        <w:t xml:space="preserve">a Comisión de Administración del Consejo del Poder Judicial del Estado de Michoacán en sesión celebrada con fecha 18 de octubre de 2022, mediante oficio número SA/CA/1559-1/2022 se autoriza realizar una transferencia presupuestal </w:t>
      </w:r>
      <w:r w:rsidR="003F1AD9" w:rsidRPr="004C348F">
        <w:rPr>
          <w:rFonts w:ascii="Arial Narrow" w:hAnsi="Arial Narrow" w:cs="Times New Roman"/>
          <w:sz w:val="24"/>
          <w:szCs w:val="24"/>
        </w:rPr>
        <w:t>de la siguiente manera:</w:t>
      </w:r>
    </w:p>
    <w:p w:rsidR="003F1AD9" w:rsidRPr="004C348F" w:rsidRDefault="003F1AD9" w:rsidP="00BF4084">
      <w:pPr>
        <w:spacing w:line="276" w:lineRule="auto"/>
        <w:ind w:left="1134"/>
        <w:jc w:val="both"/>
        <w:rPr>
          <w:rFonts w:ascii="Arial Narrow" w:eastAsia="Times New Roman" w:hAnsi="Arial Narrow" w:cs="Calibri"/>
          <w:sz w:val="24"/>
          <w:szCs w:val="24"/>
          <w:lang w:eastAsia="es-MX"/>
        </w:rPr>
      </w:pPr>
      <w:r w:rsidRPr="004C348F">
        <w:rPr>
          <w:rFonts w:ascii="Arial Narrow" w:hAnsi="Arial Narrow" w:cs="Times New Roman"/>
          <w:sz w:val="24"/>
          <w:szCs w:val="24"/>
        </w:rPr>
        <w:t xml:space="preserve">Ampliación: 2000 </w:t>
      </w:r>
      <w:r w:rsidRPr="004C348F">
        <w:rPr>
          <w:rFonts w:ascii="Arial Narrow" w:eastAsia="Times New Roman" w:hAnsi="Arial Narrow" w:cs="Calibri"/>
          <w:sz w:val="24"/>
          <w:szCs w:val="24"/>
          <w:lang w:eastAsia="es-MX"/>
        </w:rPr>
        <w:t>Materiales y Suministros $</w:t>
      </w:r>
      <w:r w:rsidR="00F62B88" w:rsidRPr="004C348F">
        <w:rPr>
          <w:rFonts w:ascii="Arial Narrow" w:eastAsia="Times New Roman" w:hAnsi="Arial Narrow" w:cs="Calibri"/>
          <w:sz w:val="24"/>
          <w:szCs w:val="24"/>
          <w:lang w:eastAsia="es-MX"/>
        </w:rPr>
        <w:t xml:space="preserve"> </w:t>
      </w:r>
      <w:r w:rsidRPr="004C348F">
        <w:rPr>
          <w:rFonts w:ascii="Arial Narrow" w:eastAsia="Times New Roman" w:hAnsi="Arial Narrow" w:cs="Calibri"/>
          <w:sz w:val="24"/>
          <w:szCs w:val="24"/>
          <w:lang w:eastAsia="es-MX"/>
        </w:rPr>
        <w:t>6,</w:t>
      </w:r>
      <w:r w:rsidR="00F62B88" w:rsidRPr="004C348F">
        <w:rPr>
          <w:rFonts w:ascii="Arial Narrow" w:eastAsia="Times New Roman" w:hAnsi="Arial Narrow" w:cs="Calibri"/>
          <w:sz w:val="24"/>
          <w:szCs w:val="24"/>
          <w:lang w:eastAsia="es-MX"/>
        </w:rPr>
        <w:t xml:space="preserve"> </w:t>
      </w:r>
      <w:r w:rsidRPr="004C348F">
        <w:rPr>
          <w:rFonts w:ascii="Arial Narrow" w:eastAsia="Times New Roman" w:hAnsi="Arial Narrow" w:cs="Calibri"/>
          <w:sz w:val="24"/>
          <w:szCs w:val="24"/>
          <w:lang w:eastAsia="es-MX"/>
        </w:rPr>
        <w:t>765,509.87</w:t>
      </w:r>
    </w:p>
    <w:p w:rsidR="003F1AD9" w:rsidRPr="004C348F" w:rsidRDefault="003F1AD9" w:rsidP="00BF4084">
      <w:pPr>
        <w:spacing w:line="276" w:lineRule="auto"/>
        <w:ind w:left="1134"/>
        <w:jc w:val="both"/>
        <w:rPr>
          <w:rFonts w:ascii="Arial Narrow" w:eastAsia="Times New Roman" w:hAnsi="Arial Narrow" w:cs="Calibri"/>
          <w:sz w:val="24"/>
          <w:szCs w:val="24"/>
          <w:lang w:eastAsia="es-MX"/>
        </w:rPr>
      </w:pPr>
      <w:r w:rsidRPr="004C348F">
        <w:rPr>
          <w:rFonts w:ascii="Arial Narrow" w:eastAsia="Times New Roman" w:hAnsi="Arial Narrow" w:cs="Calibri"/>
          <w:sz w:val="24"/>
          <w:szCs w:val="24"/>
          <w:lang w:eastAsia="es-MX"/>
        </w:rPr>
        <w:t>Reducción: 1000 Servicios Personales $</w:t>
      </w:r>
      <w:r w:rsidR="00F62B88" w:rsidRPr="004C348F">
        <w:rPr>
          <w:rFonts w:ascii="Arial Narrow" w:eastAsia="Times New Roman" w:hAnsi="Arial Narrow" w:cs="Calibri"/>
          <w:sz w:val="24"/>
          <w:szCs w:val="24"/>
          <w:lang w:eastAsia="es-MX"/>
        </w:rPr>
        <w:t xml:space="preserve"> </w:t>
      </w:r>
      <w:r w:rsidRPr="004C348F">
        <w:rPr>
          <w:rFonts w:ascii="Arial Narrow" w:eastAsia="Times New Roman" w:hAnsi="Arial Narrow" w:cs="Calibri"/>
          <w:sz w:val="24"/>
          <w:szCs w:val="24"/>
          <w:lang w:eastAsia="es-MX"/>
        </w:rPr>
        <w:t>6,</w:t>
      </w:r>
      <w:r w:rsidR="0001313E" w:rsidRPr="004C348F">
        <w:rPr>
          <w:rFonts w:ascii="Arial Narrow" w:eastAsia="Times New Roman" w:hAnsi="Arial Narrow" w:cs="Calibri"/>
          <w:sz w:val="24"/>
          <w:szCs w:val="24"/>
          <w:lang w:eastAsia="es-MX"/>
        </w:rPr>
        <w:t xml:space="preserve"> </w:t>
      </w:r>
      <w:r w:rsidRPr="004C348F">
        <w:rPr>
          <w:rFonts w:ascii="Arial Narrow" w:eastAsia="Times New Roman" w:hAnsi="Arial Narrow" w:cs="Calibri"/>
          <w:sz w:val="24"/>
          <w:szCs w:val="24"/>
          <w:lang w:eastAsia="es-MX"/>
        </w:rPr>
        <w:t>765,509.87</w:t>
      </w:r>
    </w:p>
    <w:p w:rsidR="00BF4084" w:rsidRDefault="00BF4084" w:rsidP="0001313E">
      <w:pPr>
        <w:spacing w:line="276" w:lineRule="auto"/>
        <w:jc w:val="both"/>
        <w:rPr>
          <w:rFonts w:ascii="Arial Narrow" w:hAnsi="Arial Narrow" w:cs="Times New Roman"/>
          <w:sz w:val="24"/>
          <w:szCs w:val="24"/>
        </w:rPr>
      </w:pPr>
    </w:p>
    <w:p w:rsidR="0001313E" w:rsidRPr="004C348F" w:rsidRDefault="00E253C9" w:rsidP="0001313E">
      <w:pPr>
        <w:spacing w:line="276" w:lineRule="auto"/>
        <w:jc w:val="both"/>
        <w:rPr>
          <w:rFonts w:ascii="Arial Narrow" w:hAnsi="Arial Narrow" w:cs="Times New Roman"/>
          <w:sz w:val="24"/>
          <w:szCs w:val="24"/>
        </w:rPr>
      </w:pPr>
      <w:r w:rsidRPr="004C348F">
        <w:rPr>
          <w:rFonts w:ascii="Arial Narrow" w:hAnsi="Arial Narrow" w:cs="Times New Roman"/>
          <w:sz w:val="24"/>
          <w:szCs w:val="24"/>
        </w:rPr>
        <w:t>L</w:t>
      </w:r>
      <w:r w:rsidR="0001313E" w:rsidRPr="004C348F">
        <w:rPr>
          <w:rFonts w:ascii="Arial Narrow" w:hAnsi="Arial Narrow" w:cs="Times New Roman"/>
          <w:sz w:val="24"/>
          <w:szCs w:val="24"/>
        </w:rPr>
        <w:t>a Comisión de Administración del Consejo del Poder Judicial del Estado de Michoacán en sesión celebrada con fecha 18 de octubre de 2022, mediante oficio número SA/CA/1600/2022 se autoriza realizar una transferencia presupuestal de la siguiente manera:</w:t>
      </w:r>
    </w:p>
    <w:p w:rsidR="0001313E" w:rsidRPr="004C348F" w:rsidRDefault="0001313E" w:rsidP="00BF4084">
      <w:pPr>
        <w:spacing w:line="276" w:lineRule="auto"/>
        <w:ind w:left="1134"/>
        <w:jc w:val="both"/>
        <w:rPr>
          <w:rFonts w:ascii="Arial Narrow" w:eastAsia="Times New Roman" w:hAnsi="Arial Narrow" w:cs="Calibri"/>
          <w:sz w:val="24"/>
          <w:szCs w:val="24"/>
          <w:lang w:eastAsia="es-MX"/>
        </w:rPr>
      </w:pPr>
      <w:r w:rsidRPr="004C348F">
        <w:rPr>
          <w:rFonts w:ascii="Arial Narrow" w:hAnsi="Arial Narrow" w:cs="Times New Roman"/>
          <w:sz w:val="24"/>
          <w:szCs w:val="24"/>
        </w:rPr>
        <w:t xml:space="preserve">Ampliación: 6000 </w:t>
      </w:r>
      <w:r w:rsidRPr="004C348F">
        <w:rPr>
          <w:rFonts w:ascii="Arial Narrow" w:eastAsia="Times New Roman" w:hAnsi="Arial Narrow" w:cs="Calibri"/>
          <w:sz w:val="24"/>
          <w:szCs w:val="24"/>
          <w:lang w:eastAsia="es-MX"/>
        </w:rPr>
        <w:t>Inversión Pública $ 4, 024,605.35</w:t>
      </w:r>
    </w:p>
    <w:p w:rsidR="0001313E" w:rsidRPr="004C348F" w:rsidRDefault="0001313E" w:rsidP="00BF4084">
      <w:pPr>
        <w:spacing w:line="276" w:lineRule="auto"/>
        <w:ind w:left="1134"/>
        <w:jc w:val="both"/>
        <w:rPr>
          <w:rFonts w:ascii="Arial Narrow" w:eastAsia="Times New Roman" w:hAnsi="Arial Narrow" w:cs="Calibri"/>
          <w:sz w:val="24"/>
          <w:szCs w:val="24"/>
          <w:lang w:eastAsia="es-MX"/>
        </w:rPr>
      </w:pPr>
      <w:r w:rsidRPr="004C348F">
        <w:rPr>
          <w:rFonts w:ascii="Arial Narrow" w:eastAsia="Times New Roman" w:hAnsi="Arial Narrow" w:cs="Calibri"/>
          <w:sz w:val="24"/>
          <w:szCs w:val="24"/>
          <w:lang w:eastAsia="es-MX"/>
        </w:rPr>
        <w:t>Reducción: 1000 Servicios Personales $ 4, 024,605.35</w:t>
      </w:r>
    </w:p>
    <w:p w:rsidR="00BF4084" w:rsidRDefault="00BF4084" w:rsidP="003252AD">
      <w:pPr>
        <w:spacing w:line="276" w:lineRule="auto"/>
        <w:jc w:val="both"/>
        <w:rPr>
          <w:rFonts w:ascii="Arial Narrow" w:hAnsi="Arial Narrow" w:cs="Times New Roman"/>
          <w:sz w:val="24"/>
          <w:szCs w:val="24"/>
        </w:rPr>
      </w:pPr>
    </w:p>
    <w:p w:rsidR="003252AD" w:rsidRPr="004C348F" w:rsidRDefault="003252AD" w:rsidP="003252AD">
      <w:pPr>
        <w:spacing w:line="276" w:lineRule="auto"/>
        <w:jc w:val="both"/>
        <w:rPr>
          <w:rFonts w:ascii="Arial Narrow" w:hAnsi="Arial Narrow" w:cs="Times New Roman"/>
          <w:sz w:val="24"/>
          <w:szCs w:val="24"/>
        </w:rPr>
      </w:pPr>
      <w:r w:rsidRPr="004C348F">
        <w:rPr>
          <w:rFonts w:ascii="Arial Narrow" w:hAnsi="Arial Narrow" w:cs="Times New Roman"/>
          <w:sz w:val="24"/>
          <w:szCs w:val="24"/>
        </w:rPr>
        <w:t xml:space="preserve">La Comisión de Administración del Consejo del Poder Judicial del Estado de Michoacán en sesión celebrada con fecha 15 de noviembre de 2022, mediante oficio número SA/CA/1703/2022 se autoriza realizar una transferencia presupuestal </w:t>
      </w:r>
      <w:r w:rsidR="00C6455C">
        <w:rPr>
          <w:rFonts w:ascii="Arial Narrow" w:hAnsi="Arial Narrow" w:cs="Times New Roman"/>
          <w:sz w:val="24"/>
          <w:szCs w:val="24"/>
        </w:rPr>
        <w:t xml:space="preserve">(proyecto presupuestario “793 Enfoque de género”), </w:t>
      </w:r>
      <w:r w:rsidRPr="004C348F">
        <w:rPr>
          <w:rFonts w:ascii="Arial Narrow" w:hAnsi="Arial Narrow" w:cs="Times New Roman"/>
          <w:sz w:val="24"/>
          <w:szCs w:val="24"/>
        </w:rPr>
        <w:t>de la siguiente manera:</w:t>
      </w:r>
    </w:p>
    <w:p w:rsidR="004C348F" w:rsidRPr="004C348F" w:rsidRDefault="004C348F" w:rsidP="00BF4084">
      <w:pPr>
        <w:spacing w:line="276" w:lineRule="auto"/>
        <w:ind w:left="1134"/>
        <w:jc w:val="both"/>
        <w:rPr>
          <w:rFonts w:ascii="Arial Narrow" w:eastAsia="Times New Roman" w:hAnsi="Arial Narrow" w:cs="Calibri"/>
          <w:sz w:val="24"/>
          <w:szCs w:val="24"/>
          <w:lang w:eastAsia="es-MX"/>
        </w:rPr>
      </w:pPr>
      <w:r w:rsidRPr="004C348F">
        <w:rPr>
          <w:rFonts w:ascii="Arial Narrow" w:hAnsi="Arial Narrow" w:cs="Times New Roman"/>
          <w:sz w:val="24"/>
          <w:szCs w:val="24"/>
        </w:rPr>
        <w:t xml:space="preserve">Ampliación: </w:t>
      </w:r>
      <w:r w:rsidR="00C6455C" w:rsidRPr="004C348F">
        <w:rPr>
          <w:rFonts w:ascii="Arial Narrow" w:hAnsi="Arial Narrow" w:cs="Times New Roman"/>
          <w:sz w:val="24"/>
          <w:szCs w:val="24"/>
        </w:rPr>
        <w:t>3000 Servicios Generales</w:t>
      </w:r>
      <w:r w:rsidR="00C6455C" w:rsidRPr="004C348F">
        <w:rPr>
          <w:rFonts w:ascii="Arial Narrow" w:eastAsia="Times New Roman" w:hAnsi="Arial Narrow" w:cs="Calibri"/>
          <w:sz w:val="24"/>
          <w:szCs w:val="24"/>
          <w:lang w:eastAsia="es-MX"/>
        </w:rPr>
        <w:t xml:space="preserve"> </w:t>
      </w:r>
      <w:r w:rsidRPr="004C348F">
        <w:rPr>
          <w:rFonts w:ascii="Arial Narrow" w:eastAsia="Times New Roman" w:hAnsi="Arial Narrow" w:cs="Calibri"/>
          <w:sz w:val="24"/>
          <w:szCs w:val="24"/>
          <w:lang w:eastAsia="es-MX"/>
        </w:rPr>
        <w:t>$ 4,576.00</w:t>
      </w:r>
    </w:p>
    <w:p w:rsidR="004C348F" w:rsidRPr="004C348F" w:rsidRDefault="004C348F" w:rsidP="00BF4084">
      <w:pPr>
        <w:spacing w:line="276" w:lineRule="auto"/>
        <w:ind w:left="1134"/>
        <w:jc w:val="both"/>
        <w:rPr>
          <w:rFonts w:ascii="Arial Narrow" w:eastAsia="Times New Roman" w:hAnsi="Arial Narrow" w:cs="Calibri"/>
          <w:sz w:val="24"/>
          <w:szCs w:val="24"/>
          <w:lang w:eastAsia="es-MX"/>
        </w:rPr>
      </w:pPr>
      <w:r w:rsidRPr="004C348F">
        <w:rPr>
          <w:rFonts w:ascii="Arial Narrow" w:eastAsia="Times New Roman" w:hAnsi="Arial Narrow" w:cs="Calibri"/>
          <w:sz w:val="24"/>
          <w:szCs w:val="24"/>
          <w:lang w:eastAsia="es-MX"/>
        </w:rPr>
        <w:t xml:space="preserve">Reducción: </w:t>
      </w:r>
      <w:r w:rsidR="00C6455C" w:rsidRPr="004C348F">
        <w:rPr>
          <w:rFonts w:ascii="Arial Narrow" w:hAnsi="Arial Narrow" w:cs="Times New Roman"/>
          <w:sz w:val="24"/>
          <w:szCs w:val="24"/>
        </w:rPr>
        <w:t xml:space="preserve">2000 </w:t>
      </w:r>
      <w:r w:rsidR="00C6455C" w:rsidRPr="004C348F">
        <w:rPr>
          <w:rFonts w:ascii="Arial Narrow" w:eastAsia="Times New Roman" w:hAnsi="Arial Narrow" w:cs="Calibri"/>
          <w:sz w:val="24"/>
          <w:szCs w:val="24"/>
          <w:lang w:eastAsia="es-MX"/>
        </w:rPr>
        <w:t xml:space="preserve">Materiales y Suministros </w:t>
      </w:r>
      <w:r w:rsidRPr="004C348F">
        <w:rPr>
          <w:rFonts w:ascii="Arial Narrow" w:eastAsia="Times New Roman" w:hAnsi="Arial Narrow" w:cs="Calibri"/>
          <w:sz w:val="24"/>
          <w:szCs w:val="24"/>
          <w:lang w:eastAsia="es-MX"/>
        </w:rPr>
        <w:t>$ 4,576.00</w:t>
      </w:r>
    </w:p>
    <w:p w:rsidR="00BF4084" w:rsidRDefault="00BF4084" w:rsidP="00714561">
      <w:pPr>
        <w:spacing w:line="276" w:lineRule="auto"/>
        <w:jc w:val="both"/>
        <w:rPr>
          <w:rFonts w:ascii="Arial Narrow" w:hAnsi="Arial Narrow" w:cs="Times New Roman"/>
          <w:sz w:val="24"/>
          <w:szCs w:val="24"/>
        </w:rPr>
      </w:pPr>
    </w:p>
    <w:p w:rsidR="00714561" w:rsidRPr="00BF4084" w:rsidRDefault="00714561" w:rsidP="00714561">
      <w:pPr>
        <w:spacing w:line="276" w:lineRule="auto"/>
        <w:jc w:val="both"/>
        <w:rPr>
          <w:rFonts w:ascii="Arial Narrow" w:hAnsi="Arial Narrow" w:cs="Times New Roman"/>
          <w:sz w:val="24"/>
          <w:szCs w:val="24"/>
        </w:rPr>
      </w:pPr>
      <w:r w:rsidRPr="00BF4084">
        <w:rPr>
          <w:rFonts w:ascii="Arial Narrow" w:hAnsi="Arial Narrow" w:cs="Times New Roman"/>
          <w:sz w:val="24"/>
          <w:szCs w:val="24"/>
        </w:rPr>
        <w:t>La Comisión de Administración del Consejo del Poder Judicial del Estado de Michoacán en sesión celebrada c</w:t>
      </w:r>
      <w:r w:rsidR="00B2353F" w:rsidRPr="00BF4084">
        <w:rPr>
          <w:rFonts w:ascii="Arial Narrow" w:hAnsi="Arial Narrow" w:cs="Times New Roman"/>
          <w:sz w:val="24"/>
          <w:szCs w:val="24"/>
        </w:rPr>
        <w:t>on fecha 29</w:t>
      </w:r>
      <w:r w:rsidRPr="00BF4084">
        <w:rPr>
          <w:rFonts w:ascii="Arial Narrow" w:hAnsi="Arial Narrow" w:cs="Times New Roman"/>
          <w:sz w:val="24"/>
          <w:szCs w:val="24"/>
        </w:rPr>
        <w:t xml:space="preserve"> de noviembre de 2022, m</w:t>
      </w:r>
      <w:r w:rsidR="00B2353F" w:rsidRPr="00BF4084">
        <w:rPr>
          <w:rFonts w:ascii="Arial Narrow" w:hAnsi="Arial Narrow" w:cs="Times New Roman"/>
          <w:sz w:val="24"/>
          <w:szCs w:val="24"/>
        </w:rPr>
        <w:t>ediante oficio número SA/CA/1758</w:t>
      </w:r>
      <w:r w:rsidRPr="00BF4084">
        <w:rPr>
          <w:rFonts w:ascii="Arial Narrow" w:hAnsi="Arial Narrow" w:cs="Times New Roman"/>
          <w:sz w:val="24"/>
          <w:szCs w:val="24"/>
        </w:rPr>
        <w:t>/2022 se autoriza realizar una transferencia presupuestal de la siguiente manera:</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hAnsi="Arial Narrow" w:cs="Times New Roman"/>
          <w:sz w:val="24"/>
          <w:szCs w:val="24"/>
        </w:rPr>
        <w:t>Ampliación</w:t>
      </w:r>
      <w:r w:rsidRPr="00BF4084">
        <w:rPr>
          <w:rFonts w:ascii="Arial Narrow" w:eastAsia="Times New Roman" w:hAnsi="Arial Narrow" w:cs="Calibri"/>
          <w:sz w:val="24"/>
          <w:szCs w:val="24"/>
          <w:lang w:eastAsia="es-MX"/>
        </w:rPr>
        <w:t xml:space="preserve">: </w:t>
      </w:r>
      <w:r w:rsidRPr="00BF4084">
        <w:rPr>
          <w:rFonts w:ascii="Arial Narrow" w:hAnsi="Arial Narrow" w:cs="Times New Roman"/>
          <w:sz w:val="24"/>
          <w:szCs w:val="24"/>
        </w:rPr>
        <w:t xml:space="preserve">2000 </w:t>
      </w:r>
      <w:r w:rsidRPr="00BF4084">
        <w:rPr>
          <w:rFonts w:ascii="Arial Narrow" w:eastAsia="Times New Roman" w:hAnsi="Arial Narrow" w:cs="Calibri"/>
          <w:sz w:val="24"/>
          <w:szCs w:val="24"/>
          <w:lang w:eastAsia="es-MX"/>
        </w:rPr>
        <w:t xml:space="preserve">Materiales y Suministros $ </w:t>
      </w:r>
      <w:r w:rsidRPr="00BF4084">
        <w:rPr>
          <w:rFonts w:ascii="Arial Narrow" w:eastAsia="Times New Roman" w:hAnsi="Arial Narrow" w:cs="Calibri"/>
          <w:sz w:val="24"/>
          <w:szCs w:val="24"/>
          <w:lang w:eastAsia="es-MX"/>
        </w:rPr>
        <w:t>430,417.99</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hAnsi="Arial Narrow" w:cs="Times New Roman"/>
          <w:sz w:val="24"/>
          <w:szCs w:val="24"/>
        </w:rPr>
        <w:t>Ampliación: 3000 Servicios Generales</w:t>
      </w:r>
      <w:r w:rsidRPr="00BF4084">
        <w:rPr>
          <w:rFonts w:ascii="Arial Narrow" w:eastAsia="Times New Roman" w:hAnsi="Arial Narrow" w:cs="Calibri"/>
          <w:sz w:val="24"/>
          <w:szCs w:val="24"/>
          <w:lang w:eastAsia="es-MX"/>
        </w:rPr>
        <w:t xml:space="preserve"> $ </w:t>
      </w:r>
      <w:r w:rsidRPr="00BF4084">
        <w:rPr>
          <w:rFonts w:ascii="Arial Narrow" w:eastAsia="Times New Roman" w:hAnsi="Arial Narrow" w:cs="Calibri"/>
          <w:sz w:val="24"/>
          <w:szCs w:val="24"/>
          <w:lang w:eastAsia="es-MX"/>
        </w:rPr>
        <w:t>1,054,053.33</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eastAsia="Times New Roman" w:hAnsi="Arial Narrow" w:cs="Calibri"/>
          <w:sz w:val="24"/>
          <w:szCs w:val="24"/>
          <w:lang w:eastAsia="es-MX"/>
        </w:rPr>
        <w:t>Ampliación: 5000 Bienes Muebles, Inmuebles e Intangibles $9,055,683.79</w:t>
      </w:r>
    </w:p>
    <w:p w:rsidR="00B2353F" w:rsidRPr="00BF4084" w:rsidRDefault="00714561" w:rsidP="00BF4084">
      <w:pPr>
        <w:spacing w:line="276" w:lineRule="auto"/>
        <w:ind w:left="1134"/>
        <w:jc w:val="both"/>
        <w:rPr>
          <w:rFonts w:ascii="Arial Narrow" w:eastAsia="Times New Roman" w:hAnsi="Arial Narrow" w:cs="Calibri"/>
          <w:sz w:val="24"/>
          <w:szCs w:val="24"/>
          <w:lang w:eastAsia="es-MX"/>
        </w:rPr>
      </w:pPr>
      <w:r w:rsidRPr="00BF4084">
        <w:rPr>
          <w:rFonts w:ascii="Arial Narrow" w:eastAsia="Times New Roman" w:hAnsi="Arial Narrow" w:cs="Calibri"/>
          <w:sz w:val="24"/>
          <w:szCs w:val="24"/>
          <w:lang w:eastAsia="es-MX"/>
        </w:rPr>
        <w:t xml:space="preserve">Reducción: </w:t>
      </w:r>
      <w:r w:rsidR="00B2353F" w:rsidRPr="00BF4084">
        <w:rPr>
          <w:rFonts w:ascii="Arial Narrow" w:eastAsia="Times New Roman" w:hAnsi="Arial Narrow" w:cs="Calibri"/>
          <w:sz w:val="24"/>
          <w:szCs w:val="24"/>
          <w:lang w:eastAsia="es-MX"/>
        </w:rPr>
        <w:t xml:space="preserve">1000 Servicios Personales $ </w:t>
      </w:r>
      <w:r w:rsidR="00B2353F" w:rsidRPr="00BF4084">
        <w:rPr>
          <w:rFonts w:ascii="Arial Narrow" w:eastAsia="Times New Roman" w:hAnsi="Arial Narrow" w:cs="Calibri"/>
          <w:sz w:val="24"/>
          <w:szCs w:val="24"/>
          <w:lang w:eastAsia="es-MX"/>
        </w:rPr>
        <w:t>10,540,155.11</w:t>
      </w:r>
    </w:p>
    <w:p w:rsidR="00BF4084" w:rsidRDefault="00BF4084" w:rsidP="00B2353F">
      <w:pPr>
        <w:spacing w:line="276" w:lineRule="auto"/>
        <w:jc w:val="both"/>
        <w:rPr>
          <w:rFonts w:ascii="Arial Narrow" w:hAnsi="Arial Narrow" w:cs="Times New Roman"/>
          <w:sz w:val="24"/>
          <w:szCs w:val="24"/>
        </w:rPr>
      </w:pPr>
    </w:p>
    <w:p w:rsidR="00B2353F" w:rsidRPr="00BF4084" w:rsidRDefault="00B2353F" w:rsidP="00B2353F">
      <w:pPr>
        <w:spacing w:line="276" w:lineRule="auto"/>
        <w:jc w:val="both"/>
        <w:rPr>
          <w:rFonts w:ascii="Arial Narrow" w:hAnsi="Arial Narrow" w:cs="Times New Roman"/>
          <w:sz w:val="24"/>
          <w:szCs w:val="24"/>
        </w:rPr>
      </w:pPr>
      <w:r w:rsidRPr="00BF4084">
        <w:rPr>
          <w:rFonts w:ascii="Arial Narrow" w:hAnsi="Arial Narrow" w:cs="Times New Roman"/>
          <w:sz w:val="24"/>
          <w:szCs w:val="24"/>
        </w:rPr>
        <w:t>La Comisión de Administración del Consejo del Poder Judicial del Estado de Michoacán en sesión celebrada c</w:t>
      </w:r>
      <w:r w:rsidRPr="00BF4084">
        <w:rPr>
          <w:rFonts w:ascii="Arial Narrow" w:hAnsi="Arial Narrow" w:cs="Times New Roman"/>
          <w:sz w:val="24"/>
          <w:szCs w:val="24"/>
        </w:rPr>
        <w:t>on fecha 1</w:t>
      </w:r>
      <w:r w:rsidRPr="00BF4084">
        <w:rPr>
          <w:rFonts w:ascii="Arial Narrow" w:hAnsi="Arial Narrow" w:cs="Times New Roman"/>
          <w:sz w:val="24"/>
          <w:szCs w:val="24"/>
        </w:rPr>
        <w:t xml:space="preserve">9 de </w:t>
      </w:r>
      <w:r w:rsidRPr="00BF4084">
        <w:rPr>
          <w:rFonts w:ascii="Arial Narrow" w:hAnsi="Arial Narrow" w:cs="Times New Roman"/>
          <w:sz w:val="24"/>
          <w:szCs w:val="24"/>
        </w:rPr>
        <w:t>dic</w:t>
      </w:r>
      <w:r w:rsidRPr="00BF4084">
        <w:rPr>
          <w:rFonts w:ascii="Arial Narrow" w:hAnsi="Arial Narrow" w:cs="Times New Roman"/>
          <w:sz w:val="24"/>
          <w:szCs w:val="24"/>
        </w:rPr>
        <w:t>iembre de 2022, m</w:t>
      </w:r>
      <w:r w:rsidRPr="00BF4084">
        <w:rPr>
          <w:rFonts w:ascii="Arial Narrow" w:hAnsi="Arial Narrow" w:cs="Times New Roman"/>
          <w:sz w:val="24"/>
          <w:szCs w:val="24"/>
        </w:rPr>
        <w:t>ediante oficio número SA/CA/1911</w:t>
      </w:r>
      <w:r w:rsidRPr="00BF4084">
        <w:rPr>
          <w:rFonts w:ascii="Arial Narrow" w:hAnsi="Arial Narrow" w:cs="Times New Roman"/>
          <w:sz w:val="24"/>
          <w:szCs w:val="24"/>
        </w:rPr>
        <w:t>/2022 se autoriza realizar una transferencia presupuestal de la siguiente manera:</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hAnsi="Arial Narrow" w:cs="Times New Roman"/>
          <w:sz w:val="24"/>
          <w:szCs w:val="24"/>
        </w:rPr>
        <w:t>Ampliación: 3000 Servicios Generales</w:t>
      </w:r>
      <w:r w:rsidRPr="00BF4084">
        <w:rPr>
          <w:rFonts w:ascii="Arial Narrow" w:eastAsia="Times New Roman" w:hAnsi="Arial Narrow" w:cs="Calibri"/>
          <w:sz w:val="24"/>
          <w:szCs w:val="24"/>
          <w:lang w:eastAsia="es-MX"/>
        </w:rPr>
        <w:t xml:space="preserve"> $ </w:t>
      </w:r>
      <w:r w:rsidRPr="00BF4084">
        <w:rPr>
          <w:rFonts w:ascii="Arial Narrow" w:eastAsia="Times New Roman" w:hAnsi="Arial Narrow" w:cs="Calibri"/>
          <w:sz w:val="24"/>
          <w:szCs w:val="24"/>
          <w:lang w:eastAsia="es-MX"/>
        </w:rPr>
        <w:t>1,142,266.88</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eastAsia="Times New Roman" w:hAnsi="Arial Narrow" w:cs="Calibri"/>
          <w:sz w:val="24"/>
          <w:szCs w:val="24"/>
          <w:lang w:eastAsia="es-MX"/>
        </w:rPr>
        <w:t xml:space="preserve">Reducción: 1000 Servicios Personales $ </w:t>
      </w:r>
      <w:r w:rsidRPr="00BF4084">
        <w:rPr>
          <w:rFonts w:ascii="Arial Narrow" w:eastAsia="Times New Roman" w:hAnsi="Arial Narrow" w:cs="Calibri"/>
          <w:sz w:val="24"/>
          <w:szCs w:val="24"/>
          <w:lang w:eastAsia="es-MX"/>
        </w:rPr>
        <w:t>1,142,266.88</w:t>
      </w:r>
    </w:p>
    <w:p w:rsidR="00BF4084" w:rsidRDefault="00BF4084" w:rsidP="00B2353F">
      <w:pPr>
        <w:spacing w:line="276" w:lineRule="auto"/>
        <w:jc w:val="both"/>
        <w:rPr>
          <w:rFonts w:ascii="Arial Narrow" w:hAnsi="Arial Narrow" w:cs="Times New Roman"/>
          <w:sz w:val="24"/>
          <w:szCs w:val="24"/>
        </w:rPr>
      </w:pPr>
    </w:p>
    <w:p w:rsidR="00B2353F" w:rsidRPr="00BF4084" w:rsidRDefault="00B2353F" w:rsidP="00B2353F">
      <w:pPr>
        <w:spacing w:line="276" w:lineRule="auto"/>
        <w:jc w:val="both"/>
        <w:rPr>
          <w:rFonts w:ascii="Arial Narrow" w:hAnsi="Arial Narrow" w:cs="Times New Roman"/>
          <w:sz w:val="24"/>
          <w:szCs w:val="24"/>
        </w:rPr>
      </w:pPr>
      <w:r w:rsidRPr="00BF4084">
        <w:rPr>
          <w:rFonts w:ascii="Arial Narrow" w:hAnsi="Arial Narrow" w:cs="Times New Roman"/>
          <w:sz w:val="24"/>
          <w:szCs w:val="24"/>
        </w:rPr>
        <w:t>La Comisión de Administración del Consejo del Poder Judicial del Estado de Michoacán en sesión celebrada con fecha 19 de diciembre de 2022, m</w:t>
      </w:r>
      <w:r w:rsidRPr="00BF4084">
        <w:rPr>
          <w:rFonts w:ascii="Arial Narrow" w:hAnsi="Arial Narrow" w:cs="Times New Roman"/>
          <w:sz w:val="24"/>
          <w:szCs w:val="24"/>
        </w:rPr>
        <w:t>ediante oficio número SA/CA/1910</w:t>
      </w:r>
      <w:r w:rsidRPr="00BF4084">
        <w:rPr>
          <w:rFonts w:ascii="Arial Narrow" w:hAnsi="Arial Narrow" w:cs="Times New Roman"/>
          <w:sz w:val="24"/>
          <w:szCs w:val="24"/>
        </w:rPr>
        <w:t>/2022 se autoriza realizar una transferencia presupuestal de la siguiente manera:</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hAnsi="Arial Narrow" w:cs="Times New Roman"/>
          <w:sz w:val="24"/>
          <w:szCs w:val="24"/>
        </w:rPr>
        <w:t>Ampliación: 3000 Servicios Generales</w:t>
      </w:r>
      <w:r w:rsidRPr="00BF4084">
        <w:rPr>
          <w:rFonts w:ascii="Arial Narrow" w:eastAsia="Times New Roman" w:hAnsi="Arial Narrow" w:cs="Calibri"/>
          <w:sz w:val="24"/>
          <w:szCs w:val="24"/>
          <w:lang w:eastAsia="es-MX"/>
        </w:rPr>
        <w:t xml:space="preserve"> $ </w:t>
      </w:r>
      <w:r w:rsidRPr="00BF4084">
        <w:rPr>
          <w:rFonts w:ascii="Arial Narrow" w:eastAsia="Times New Roman" w:hAnsi="Arial Narrow" w:cs="Calibri"/>
          <w:sz w:val="24"/>
          <w:szCs w:val="24"/>
          <w:lang w:eastAsia="es-MX"/>
        </w:rPr>
        <w:t>55,298.00</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eastAsia="Times New Roman" w:hAnsi="Arial Narrow" w:cs="Calibri"/>
          <w:sz w:val="24"/>
          <w:szCs w:val="24"/>
          <w:lang w:eastAsia="es-MX"/>
        </w:rPr>
        <w:t>Ampliación: 5000 Bienes Muebles, Inmuebles e Intangibles</w:t>
      </w:r>
      <w:r w:rsidRPr="00BF4084">
        <w:rPr>
          <w:rFonts w:ascii="Arial Narrow" w:eastAsia="Times New Roman" w:hAnsi="Arial Narrow" w:cs="Calibri"/>
          <w:sz w:val="24"/>
          <w:szCs w:val="24"/>
          <w:lang w:eastAsia="es-MX"/>
        </w:rPr>
        <w:t xml:space="preserve"> $1,300,000.00</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eastAsia="Times New Roman" w:hAnsi="Arial Narrow" w:cs="Calibri"/>
          <w:sz w:val="24"/>
          <w:szCs w:val="24"/>
          <w:lang w:eastAsia="es-MX"/>
        </w:rPr>
        <w:t xml:space="preserve">Reducción: 1000 Servicios Personales $ </w:t>
      </w:r>
      <w:r w:rsidRPr="00BF4084">
        <w:rPr>
          <w:rFonts w:ascii="Arial Narrow" w:eastAsia="Times New Roman" w:hAnsi="Arial Narrow" w:cs="Calibri"/>
          <w:sz w:val="24"/>
          <w:szCs w:val="24"/>
          <w:lang w:eastAsia="es-MX"/>
        </w:rPr>
        <w:t>755,298.00</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eastAsia="Times New Roman" w:hAnsi="Arial Narrow" w:cs="Calibri"/>
          <w:sz w:val="24"/>
          <w:szCs w:val="24"/>
          <w:lang w:eastAsia="es-MX"/>
        </w:rPr>
        <w:t xml:space="preserve">Reducción: </w:t>
      </w:r>
      <w:r w:rsidRPr="00BF4084">
        <w:rPr>
          <w:rFonts w:ascii="Arial Narrow" w:hAnsi="Arial Narrow" w:cs="Times New Roman"/>
          <w:sz w:val="24"/>
          <w:szCs w:val="24"/>
        </w:rPr>
        <w:t xml:space="preserve">6000 </w:t>
      </w:r>
      <w:r w:rsidRPr="00BF4084">
        <w:rPr>
          <w:rFonts w:ascii="Arial Narrow" w:eastAsia="Times New Roman" w:hAnsi="Arial Narrow" w:cs="Calibri"/>
          <w:sz w:val="24"/>
          <w:szCs w:val="24"/>
          <w:lang w:eastAsia="es-MX"/>
        </w:rPr>
        <w:t>Inversión Pública</w:t>
      </w:r>
      <w:r w:rsidRPr="00BF4084">
        <w:rPr>
          <w:rFonts w:ascii="Arial Narrow" w:eastAsia="Times New Roman" w:hAnsi="Arial Narrow" w:cs="Calibri"/>
          <w:sz w:val="24"/>
          <w:szCs w:val="24"/>
          <w:lang w:eastAsia="es-MX"/>
        </w:rPr>
        <w:t xml:space="preserve"> $600,000.00</w:t>
      </w:r>
    </w:p>
    <w:p w:rsidR="00BF4084" w:rsidRDefault="00BF4084" w:rsidP="00B2353F">
      <w:pPr>
        <w:spacing w:line="276" w:lineRule="auto"/>
        <w:jc w:val="both"/>
        <w:rPr>
          <w:rFonts w:ascii="Arial Narrow" w:hAnsi="Arial Narrow" w:cs="Times New Roman"/>
          <w:sz w:val="24"/>
          <w:szCs w:val="24"/>
        </w:rPr>
      </w:pPr>
    </w:p>
    <w:p w:rsidR="00B2353F" w:rsidRPr="00BF4084" w:rsidRDefault="00B2353F" w:rsidP="00B2353F">
      <w:pPr>
        <w:spacing w:line="276" w:lineRule="auto"/>
        <w:jc w:val="both"/>
        <w:rPr>
          <w:rFonts w:ascii="Arial Narrow" w:hAnsi="Arial Narrow" w:cs="Times New Roman"/>
          <w:sz w:val="24"/>
          <w:szCs w:val="24"/>
        </w:rPr>
      </w:pPr>
      <w:r w:rsidRPr="00BF4084">
        <w:rPr>
          <w:rFonts w:ascii="Arial Narrow" w:hAnsi="Arial Narrow" w:cs="Times New Roman"/>
          <w:sz w:val="24"/>
          <w:szCs w:val="24"/>
        </w:rPr>
        <w:t>La Comisión de Administración del Consejo del Poder Judicial del Estado de Michoacán en sesión celebrada con fecha 19 de diciembre de 2022, m</w:t>
      </w:r>
      <w:r w:rsidRPr="00BF4084">
        <w:rPr>
          <w:rFonts w:ascii="Arial Narrow" w:hAnsi="Arial Narrow" w:cs="Times New Roman"/>
          <w:sz w:val="24"/>
          <w:szCs w:val="24"/>
        </w:rPr>
        <w:t>ediante oficio número SA/CA/1909</w:t>
      </w:r>
      <w:r w:rsidRPr="00BF4084">
        <w:rPr>
          <w:rFonts w:ascii="Arial Narrow" w:hAnsi="Arial Narrow" w:cs="Times New Roman"/>
          <w:sz w:val="24"/>
          <w:szCs w:val="24"/>
        </w:rPr>
        <w:t>/2022 se autoriza realizar una transferencia presupuestal de la siguiente manera:</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hAnsi="Arial Narrow" w:cs="Times New Roman"/>
          <w:sz w:val="24"/>
          <w:szCs w:val="24"/>
        </w:rPr>
        <w:t>Ampliación: 3000 Servicios Generales</w:t>
      </w:r>
      <w:r w:rsidRPr="00BF4084">
        <w:rPr>
          <w:rFonts w:ascii="Arial Narrow" w:eastAsia="Times New Roman" w:hAnsi="Arial Narrow" w:cs="Calibri"/>
          <w:sz w:val="24"/>
          <w:szCs w:val="24"/>
          <w:lang w:eastAsia="es-MX"/>
        </w:rPr>
        <w:t xml:space="preserve"> $ </w:t>
      </w:r>
      <w:r w:rsidRPr="00BF4084">
        <w:rPr>
          <w:rFonts w:ascii="Arial Narrow" w:eastAsia="Times New Roman" w:hAnsi="Arial Narrow" w:cs="Calibri"/>
          <w:sz w:val="24"/>
          <w:szCs w:val="24"/>
          <w:lang w:eastAsia="es-MX"/>
        </w:rPr>
        <w:t>68,328.62</w:t>
      </w:r>
    </w:p>
    <w:p w:rsidR="00B2353F" w:rsidRPr="00BF4084"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eastAsia="Times New Roman" w:hAnsi="Arial Narrow" w:cs="Calibri"/>
          <w:sz w:val="24"/>
          <w:szCs w:val="24"/>
          <w:lang w:eastAsia="es-MX"/>
        </w:rPr>
        <w:t>Ampliación: 5000 Bienes Muebles, Inmuebles e Intangibles $</w:t>
      </w:r>
      <w:r w:rsidRPr="00BF4084">
        <w:rPr>
          <w:rFonts w:ascii="Arial Narrow" w:eastAsia="Times New Roman" w:hAnsi="Arial Narrow" w:cs="Calibri"/>
          <w:sz w:val="24"/>
          <w:szCs w:val="24"/>
          <w:lang w:eastAsia="es-MX"/>
        </w:rPr>
        <w:t>11,000,000.00</w:t>
      </w:r>
    </w:p>
    <w:p w:rsidR="00B2353F" w:rsidRDefault="00B2353F" w:rsidP="00BF4084">
      <w:pPr>
        <w:spacing w:line="276" w:lineRule="auto"/>
        <w:ind w:left="1134"/>
        <w:jc w:val="both"/>
        <w:rPr>
          <w:rFonts w:ascii="Arial Narrow" w:eastAsia="Times New Roman" w:hAnsi="Arial Narrow" w:cs="Calibri"/>
          <w:sz w:val="24"/>
          <w:szCs w:val="24"/>
          <w:lang w:eastAsia="es-MX"/>
        </w:rPr>
      </w:pPr>
      <w:r w:rsidRPr="00BF4084">
        <w:rPr>
          <w:rFonts w:ascii="Arial Narrow" w:eastAsia="Times New Roman" w:hAnsi="Arial Narrow" w:cs="Calibri"/>
          <w:sz w:val="24"/>
          <w:szCs w:val="24"/>
          <w:lang w:eastAsia="es-MX"/>
        </w:rPr>
        <w:t xml:space="preserve">Reducción: 1000 Servicios Personales $ </w:t>
      </w:r>
      <w:r w:rsidRPr="00BF4084">
        <w:rPr>
          <w:rFonts w:ascii="Arial Narrow" w:eastAsia="Times New Roman" w:hAnsi="Arial Narrow" w:cs="Calibri"/>
          <w:sz w:val="24"/>
          <w:szCs w:val="24"/>
          <w:lang w:eastAsia="es-MX"/>
        </w:rPr>
        <w:t>11,068,328.62</w:t>
      </w:r>
    </w:p>
    <w:p w:rsidR="00B2353F" w:rsidRDefault="00B2353F" w:rsidP="00B2353F">
      <w:pPr>
        <w:spacing w:line="276" w:lineRule="auto"/>
        <w:jc w:val="both"/>
        <w:rPr>
          <w:rFonts w:ascii="Arial Narrow" w:hAnsi="Arial Narrow" w:cs="Times New Roman"/>
          <w:sz w:val="24"/>
          <w:szCs w:val="24"/>
          <w:highlight w:val="yellow"/>
        </w:rPr>
      </w:pPr>
    </w:p>
    <w:p w:rsidR="00A73F01" w:rsidRPr="004C348F" w:rsidRDefault="00EC511C" w:rsidP="00A73F01">
      <w:pPr>
        <w:pStyle w:val="Sinespaciado"/>
        <w:spacing w:line="360" w:lineRule="auto"/>
        <w:jc w:val="both"/>
        <w:rPr>
          <w:rFonts w:ascii="Arial Narrow" w:eastAsiaTheme="minorHAnsi" w:hAnsi="Arial Narrow"/>
          <w:sz w:val="24"/>
          <w:szCs w:val="24"/>
        </w:rPr>
      </w:pPr>
      <w:r w:rsidRPr="00FD4D41">
        <w:rPr>
          <w:rFonts w:ascii="Arial Narrow" w:eastAsiaTheme="minorHAnsi" w:hAnsi="Arial Narrow"/>
          <w:sz w:val="24"/>
          <w:szCs w:val="24"/>
        </w:rPr>
        <w:t>En el mes de diciembre no se registran movimientos en la estructura orgánica</w:t>
      </w:r>
      <w:r w:rsidR="00E253C9" w:rsidRPr="00FD4D41">
        <w:rPr>
          <w:rFonts w:ascii="Arial Narrow" w:eastAsiaTheme="minorHAnsi" w:hAnsi="Arial Narrow"/>
          <w:sz w:val="24"/>
          <w:szCs w:val="24"/>
        </w:rPr>
        <w:t>.</w:t>
      </w:r>
    </w:p>
    <w:p w:rsidR="00A73F01" w:rsidRPr="004C348F" w:rsidRDefault="00A73F01" w:rsidP="00A73F01">
      <w:pPr>
        <w:pStyle w:val="Sinespaciado"/>
        <w:ind w:left="360"/>
        <w:jc w:val="center"/>
        <w:rPr>
          <w:rFonts w:ascii="Arial Narrow" w:eastAsiaTheme="minorHAnsi" w:hAnsi="Arial Narrow"/>
          <w:b/>
          <w:sz w:val="24"/>
          <w:szCs w:val="24"/>
        </w:rPr>
      </w:pPr>
    </w:p>
    <w:p w:rsidR="00A73F01" w:rsidRPr="00A91C58" w:rsidRDefault="00A73F01" w:rsidP="00A73F01">
      <w:pPr>
        <w:pStyle w:val="Sinespaciado"/>
        <w:ind w:left="360"/>
        <w:jc w:val="center"/>
        <w:rPr>
          <w:rFonts w:ascii="Arial Narrow" w:eastAsiaTheme="minorHAnsi" w:hAnsi="Arial Narrow"/>
          <w:b/>
          <w:color w:val="FF0000"/>
          <w:sz w:val="24"/>
          <w:szCs w:val="24"/>
        </w:rPr>
      </w:pPr>
    </w:p>
    <w:p w:rsidR="000B012D" w:rsidRPr="00A91C58" w:rsidRDefault="000B012D" w:rsidP="00CE170C">
      <w:pPr>
        <w:pStyle w:val="Sinespaciado"/>
        <w:ind w:left="360"/>
        <w:jc w:val="center"/>
        <w:rPr>
          <w:rFonts w:ascii="Arial Narrow" w:eastAsiaTheme="minorHAnsi" w:hAnsi="Arial Narrow"/>
          <w:b/>
          <w:color w:val="FF0000"/>
          <w:sz w:val="24"/>
          <w:szCs w:val="24"/>
        </w:rPr>
      </w:pPr>
    </w:p>
    <w:p w:rsidR="002F0901" w:rsidRPr="00A91C58" w:rsidRDefault="002F0901" w:rsidP="00CE170C">
      <w:pPr>
        <w:pStyle w:val="Sinespaciado"/>
        <w:ind w:left="360"/>
        <w:jc w:val="center"/>
        <w:rPr>
          <w:rFonts w:ascii="Arial Narrow" w:eastAsiaTheme="minorHAnsi" w:hAnsi="Arial Narrow"/>
          <w:b/>
          <w:color w:val="FF0000"/>
          <w:sz w:val="24"/>
          <w:szCs w:val="24"/>
        </w:rPr>
      </w:pPr>
    </w:p>
    <w:p w:rsidR="00CE170C" w:rsidRPr="009A59B7" w:rsidRDefault="00CE170C" w:rsidP="00CE170C">
      <w:pPr>
        <w:pStyle w:val="Sinespaciado"/>
        <w:ind w:left="360"/>
        <w:jc w:val="center"/>
        <w:rPr>
          <w:rFonts w:ascii="Arial Narrow" w:eastAsiaTheme="minorHAnsi" w:hAnsi="Arial Narrow"/>
          <w:b/>
          <w:color w:val="000000" w:themeColor="text1"/>
          <w:sz w:val="24"/>
          <w:szCs w:val="24"/>
        </w:rPr>
      </w:pPr>
    </w:p>
    <w:p w:rsidR="00FA587F" w:rsidRPr="009A59B7" w:rsidRDefault="00FA587F" w:rsidP="00CE170C">
      <w:pPr>
        <w:pStyle w:val="Sinespaciado"/>
        <w:ind w:left="360"/>
        <w:jc w:val="center"/>
        <w:rPr>
          <w:rFonts w:ascii="Arial Narrow" w:eastAsiaTheme="minorHAnsi" w:hAnsi="Arial Narrow"/>
          <w:b/>
          <w:color w:val="000000" w:themeColor="text1"/>
          <w:sz w:val="24"/>
          <w:szCs w:val="24"/>
        </w:rPr>
      </w:pPr>
      <w:r w:rsidRPr="009A59B7">
        <w:rPr>
          <w:rFonts w:ascii="Arial Narrow" w:eastAsiaTheme="minorHAnsi" w:hAnsi="Arial Narrow"/>
          <w:b/>
          <w:color w:val="000000" w:themeColor="text1"/>
          <w:sz w:val="24"/>
          <w:szCs w:val="24"/>
        </w:rPr>
        <w:t xml:space="preserve">C.P. J. Francisco Aquiles </w:t>
      </w:r>
      <w:r w:rsidR="009C3F2A" w:rsidRPr="009A59B7">
        <w:rPr>
          <w:rFonts w:ascii="Arial Narrow" w:eastAsiaTheme="minorHAnsi" w:hAnsi="Arial Narrow"/>
          <w:b/>
          <w:color w:val="000000" w:themeColor="text1"/>
          <w:sz w:val="24"/>
          <w:szCs w:val="24"/>
        </w:rPr>
        <w:t>Gaitán</w:t>
      </w:r>
      <w:r w:rsidRPr="009A59B7">
        <w:rPr>
          <w:rFonts w:ascii="Arial Narrow" w:eastAsiaTheme="minorHAnsi" w:hAnsi="Arial Narrow"/>
          <w:b/>
          <w:color w:val="000000" w:themeColor="text1"/>
          <w:sz w:val="24"/>
          <w:szCs w:val="24"/>
        </w:rPr>
        <w:t xml:space="preserve"> Aguilar</w:t>
      </w:r>
    </w:p>
    <w:p w:rsidR="00FA587F" w:rsidRPr="009A59B7" w:rsidRDefault="00FA587F" w:rsidP="00CE170C">
      <w:pPr>
        <w:pStyle w:val="Sinespaciado"/>
        <w:ind w:left="360"/>
        <w:jc w:val="center"/>
        <w:rPr>
          <w:rFonts w:ascii="Arial Narrow" w:eastAsiaTheme="minorHAnsi" w:hAnsi="Arial Narrow"/>
          <w:b/>
          <w:color w:val="000000" w:themeColor="text1"/>
          <w:sz w:val="24"/>
          <w:szCs w:val="24"/>
        </w:rPr>
      </w:pPr>
      <w:r w:rsidRPr="009A59B7">
        <w:rPr>
          <w:rFonts w:ascii="Arial Narrow" w:eastAsiaTheme="minorHAnsi" w:hAnsi="Arial Narrow"/>
          <w:b/>
          <w:color w:val="000000" w:themeColor="text1"/>
          <w:sz w:val="24"/>
          <w:szCs w:val="24"/>
        </w:rPr>
        <w:t xml:space="preserve">Secretario de Administración del </w:t>
      </w:r>
    </w:p>
    <w:p w:rsidR="00F97BAF" w:rsidRPr="009A59B7" w:rsidRDefault="00FA587F" w:rsidP="00CE170C">
      <w:pPr>
        <w:spacing w:line="240" w:lineRule="auto"/>
        <w:jc w:val="center"/>
        <w:rPr>
          <w:rFonts w:ascii="Arial Narrow" w:hAnsi="Arial Narrow" w:cs="Times New Roman"/>
          <w:b/>
          <w:color w:val="000000" w:themeColor="text1"/>
          <w:sz w:val="24"/>
          <w:szCs w:val="24"/>
        </w:rPr>
      </w:pPr>
      <w:r w:rsidRPr="009A59B7">
        <w:rPr>
          <w:rFonts w:ascii="Arial Narrow" w:hAnsi="Arial Narrow" w:cs="Times New Roman"/>
          <w:b/>
          <w:color w:val="000000" w:themeColor="text1"/>
          <w:sz w:val="24"/>
          <w:szCs w:val="24"/>
        </w:rPr>
        <w:t>Consejo del Poder Judicial</w:t>
      </w:r>
    </w:p>
    <w:sectPr w:rsidR="00F97BAF" w:rsidRPr="009A59B7" w:rsidSect="00063352">
      <w:headerReference w:type="default" r:id="rId7"/>
      <w:footerReference w:type="default" r:id="rId8"/>
      <w:pgSz w:w="12240" w:h="15840" w:code="1"/>
      <w:pgMar w:top="284" w:right="1418" w:bottom="1134" w:left="1418"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77" w:rsidRDefault="00A03577" w:rsidP="003669D8">
      <w:pPr>
        <w:spacing w:after="0" w:line="240" w:lineRule="auto"/>
      </w:pPr>
      <w:r>
        <w:separator/>
      </w:r>
    </w:p>
  </w:endnote>
  <w:endnote w:type="continuationSeparator" w:id="0">
    <w:p w:rsidR="00A03577" w:rsidRDefault="00A03577" w:rsidP="0036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D8" w:rsidRPr="00063352" w:rsidRDefault="00063352" w:rsidP="00063352">
    <w:pPr>
      <w:tabs>
        <w:tab w:val="center" w:pos="4550"/>
        <w:tab w:val="left" w:pos="5818"/>
      </w:tabs>
      <w:ind w:right="260"/>
      <w:rPr>
        <w:color w:val="222A35" w:themeColor="text2" w:themeShade="80"/>
        <w:sz w:val="20"/>
        <w:szCs w:val="20"/>
      </w:rPr>
    </w:pPr>
    <w:r>
      <w:rPr>
        <w:color w:val="8496B0" w:themeColor="text2" w:themeTint="99"/>
        <w:spacing w:val="60"/>
        <w:sz w:val="20"/>
        <w:szCs w:val="20"/>
        <w:lang w:val="es-ES"/>
      </w:rPr>
      <w:tab/>
    </w:r>
    <w:r>
      <w:rPr>
        <w:color w:val="8496B0" w:themeColor="text2" w:themeTint="99"/>
        <w:spacing w:val="60"/>
        <w:sz w:val="20"/>
        <w:szCs w:val="20"/>
        <w:lang w:val="es-ES"/>
      </w:rPr>
      <w:tab/>
    </w:r>
    <w:r>
      <w:rPr>
        <w:color w:val="8496B0" w:themeColor="text2" w:themeTint="99"/>
        <w:spacing w:val="60"/>
        <w:sz w:val="20"/>
        <w:szCs w:val="20"/>
        <w:lang w:val="es-ES"/>
      </w:rPr>
      <w:tab/>
    </w:r>
    <w:r>
      <w:rPr>
        <w:color w:val="8496B0" w:themeColor="text2" w:themeTint="99"/>
        <w:spacing w:val="60"/>
        <w:sz w:val="20"/>
        <w:szCs w:val="20"/>
        <w:lang w:val="es-ES"/>
      </w:rPr>
      <w:tab/>
    </w:r>
    <w:r>
      <w:rPr>
        <w:color w:val="8496B0" w:themeColor="text2" w:themeTint="99"/>
        <w:spacing w:val="60"/>
        <w:sz w:val="20"/>
        <w:szCs w:val="20"/>
        <w:lang w:val="es-ES"/>
      </w:rPr>
      <w:tab/>
      <w:t>P</w:t>
    </w:r>
    <w:r w:rsidR="003669D8" w:rsidRPr="00063352">
      <w:rPr>
        <w:color w:val="8496B0" w:themeColor="text2" w:themeTint="99"/>
        <w:spacing w:val="60"/>
        <w:sz w:val="20"/>
        <w:szCs w:val="20"/>
        <w:lang w:val="es-ES"/>
      </w:rPr>
      <w:t>ágina</w:t>
    </w:r>
    <w:r w:rsidR="003669D8" w:rsidRPr="00063352">
      <w:rPr>
        <w:color w:val="8496B0" w:themeColor="text2" w:themeTint="99"/>
        <w:sz w:val="20"/>
        <w:szCs w:val="20"/>
        <w:lang w:val="es-ES"/>
      </w:rPr>
      <w:t xml:space="preserve"> </w:t>
    </w:r>
    <w:r w:rsidR="003669D8" w:rsidRPr="00063352">
      <w:rPr>
        <w:color w:val="323E4F" w:themeColor="text2" w:themeShade="BF"/>
        <w:sz w:val="20"/>
        <w:szCs w:val="20"/>
      </w:rPr>
      <w:fldChar w:fldCharType="begin"/>
    </w:r>
    <w:r w:rsidR="003669D8" w:rsidRPr="00063352">
      <w:rPr>
        <w:color w:val="323E4F" w:themeColor="text2" w:themeShade="BF"/>
        <w:sz w:val="20"/>
        <w:szCs w:val="20"/>
      </w:rPr>
      <w:instrText>PAGE   \* MERGEFORMAT</w:instrText>
    </w:r>
    <w:r w:rsidR="003669D8" w:rsidRPr="00063352">
      <w:rPr>
        <w:color w:val="323E4F" w:themeColor="text2" w:themeShade="BF"/>
        <w:sz w:val="20"/>
        <w:szCs w:val="20"/>
      </w:rPr>
      <w:fldChar w:fldCharType="separate"/>
    </w:r>
    <w:r w:rsidR="00816D30" w:rsidRPr="00816D30">
      <w:rPr>
        <w:noProof/>
        <w:color w:val="323E4F" w:themeColor="text2" w:themeShade="BF"/>
        <w:sz w:val="20"/>
        <w:szCs w:val="20"/>
        <w:lang w:val="es-ES"/>
      </w:rPr>
      <w:t>4</w:t>
    </w:r>
    <w:r w:rsidR="003669D8" w:rsidRPr="00063352">
      <w:rPr>
        <w:color w:val="323E4F" w:themeColor="text2" w:themeShade="BF"/>
        <w:sz w:val="20"/>
        <w:szCs w:val="20"/>
      </w:rPr>
      <w:fldChar w:fldCharType="end"/>
    </w:r>
    <w:r w:rsidR="003669D8" w:rsidRPr="00063352">
      <w:rPr>
        <w:color w:val="323E4F" w:themeColor="text2" w:themeShade="BF"/>
        <w:sz w:val="20"/>
        <w:szCs w:val="20"/>
        <w:lang w:val="es-ES"/>
      </w:rPr>
      <w:t xml:space="preserve"> | </w:t>
    </w:r>
    <w:r w:rsidR="003669D8" w:rsidRPr="00063352">
      <w:rPr>
        <w:color w:val="323E4F" w:themeColor="text2" w:themeShade="BF"/>
        <w:sz w:val="20"/>
        <w:szCs w:val="20"/>
      </w:rPr>
      <w:fldChar w:fldCharType="begin"/>
    </w:r>
    <w:r w:rsidR="003669D8" w:rsidRPr="00063352">
      <w:rPr>
        <w:color w:val="323E4F" w:themeColor="text2" w:themeShade="BF"/>
        <w:sz w:val="20"/>
        <w:szCs w:val="20"/>
      </w:rPr>
      <w:instrText>NUMPAGES  \* Arabic  \* MERGEFORMAT</w:instrText>
    </w:r>
    <w:r w:rsidR="003669D8" w:rsidRPr="00063352">
      <w:rPr>
        <w:color w:val="323E4F" w:themeColor="text2" w:themeShade="BF"/>
        <w:sz w:val="20"/>
        <w:szCs w:val="20"/>
      </w:rPr>
      <w:fldChar w:fldCharType="separate"/>
    </w:r>
    <w:r w:rsidR="00816D30" w:rsidRPr="00816D30">
      <w:rPr>
        <w:noProof/>
        <w:color w:val="323E4F" w:themeColor="text2" w:themeShade="BF"/>
        <w:sz w:val="20"/>
        <w:szCs w:val="20"/>
        <w:lang w:val="es-ES"/>
      </w:rPr>
      <w:t>4</w:t>
    </w:r>
    <w:r w:rsidR="003669D8" w:rsidRPr="00063352">
      <w:rPr>
        <w:color w:val="323E4F" w:themeColor="text2" w:themeShade="BF"/>
        <w:sz w:val="20"/>
        <w:szCs w:val="20"/>
      </w:rPr>
      <w:fldChar w:fldCharType="end"/>
    </w:r>
  </w:p>
  <w:p w:rsidR="003669D8" w:rsidRDefault="003669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77" w:rsidRDefault="00A03577" w:rsidP="003669D8">
      <w:pPr>
        <w:spacing w:after="0" w:line="240" w:lineRule="auto"/>
      </w:pPr>
      <w:r>
        <w:separator/>
      </w:r>
    </w:p>
  </w:footnote>
  <w:footnote w:type="continuationSeparator" w:id="0">
    <w:p w:rsidR="00A03577" w:rsidRDefault="00A03577" w:rsidP="00366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EC" w:rsidRDefault="00BF3F0E" w:rsidP="00063352">
    <w:pPr>
      <w:pStyle w:val="Encabezado"/>
      <w:jc w:val="right"/>
    </w:pPr>
    <w:r>
      <w:rPr>
        <w:noProof/>
        <w:lang w:eastAsia="es-MX"/>
      </w:rPr>
      <w:drawing>
        <wp:anchor distT="0" distB="0" distL="114300" distR="114300" simplePos="0" relativeHeight="251659264" behindDoc="0" locked="0" layoutInCell="1" allowOverlap="1" wp14:anchorId="4A1F62EA" wp14:editId="31228D17">
          <wp:simplePos x="0" y="0"/>
          <wp:positionH relativeFrom="column">
            <wp:posOffset>-476250</wp:posOffset>
          </wp:positionH>
          <wp:positionV relativeFrom="paragraph">
            <wp:posOffset>-266700</wp:posOffset>
          </wp:positionV>
          <wp:extent cx="3147060" cy="638175"/>
          <wp:effectExtent l="0" t="0" r="0" b="9525"/>
          <wp:wrapSquare wrapText="bothSides"/>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147060" cy="638175"/>
                  </a:xfrm>
                  <a:prstGeom prst="rect">
                    <a:avLst/>
                  </a:prstGeom>
                  <a:noFill/>
                </pic:spPr>
              </pic:pic>
            </a:graphicData>
          </a:graphic>
          <wp14:sizeRelH relativeFrom="page">
            <wp14:pctWidth>0</wp14:pctWidth>
          </wp14:sizeRelH>
          <wp14:sizeRelV relativeFrom="page">
            <wp14:pctHeight>0</wp14:pctHeight>
          </wp14:sizeRelV>
        </wp:anchor>
      </w:drawing>
    </w:r>
    <w:r w:rsidR="00BB71EC">
      <w:rPr>
        <w:noProof/>
        <w:lang w:eastAsia="es-MX"/>
      </w:rPr>
      <mc:AlternateContent>
        <mc:Choice Requires="wps">
          <w:drawing>
            <wp:anchor distT="45720" distB="45720" distL="114300" distR="114300" simplePos="0" relativeHeight="251661312" behindDoc="0" locked="0" layoutInCell="1" allowOverlap="1" wp14:anchorId="344F0D9C" wp14:editId="57C9E26D">
              <wp:simplePos x="0" y="0"/>
              <wp:positionH relativeFrom="column">
                <wp:posOffset>2785745</wp:posOffset>
              </wp:positionH>
              <wp:positionV relativeFrom="paragraph">
                <wp:posOffset>-217170</wp:posOffset>
              </wp:positionV>
              <wp:extent cx="4284980" cy="638175"/>
              <wp:effectExtent l="0" t="0" r="1270" b="952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1EC" w:rsidRPr="00131F05" w:rsidRDefault="00BB71EC" w:rsidP="00553D72">
                          <w:pPr>
                            <w:pStyle w:val="Sinespaciado"/>
                            <w:ind w:left="426" w:firstLine="141"/>
                            <w:rPr>
                              <w:rFonts w:ascii="Georgia" w:hAnsi="Georgia"/>
                              <w:sz w:val="21"/>
                              <w:szCs w:val="21"/>
                            </w:rPr>
                          </w:pPr>
                          <w:r w:rsidRPr="00131F05">
                            <w:rPr>
                              <w:rFonts w:ascii="Georgia" w:hAnsi="Georgia"/>
                              <w:sz w:val="21"/>
                              <w:szCs w:val="21"/>
                            </w:rPr>
                            <w:t>Secretaría de Administración</w:t>
                          </w:r>
                          <w:r>
                            <w:rPr>
                              <w:rFonts w:ascii="Georgia" w:hAnsi="Georgia"/>
                              <w:sz w:val="21"/>
                              <w:szCs w:val="21"/>
                            </w:rPr>
                            <w:t xml:space="preserve"> </w:t>
                          </w:r>
                          <w:r w:rsidRPr="00131F05">
                            <w:rPr>
                              <w:rFonts w:ascii="Georgia" w:hAnsi="Georgia"/>
                              <w:sz w:val="21"/>
                              <w:szCs w:val="21"/>
                            </w:rPr>
                            <w:t>Consejo del Poder Judicial</w:t>
                          </w:r>
                        </w:p>
                        <w:p w:rsidR="00BB71EC" w:rsidRPr="00151922" w:rsidRDefault="00BB71EC" w:rsidP="00BB71EC">
                          <w:pPr>
                            <w:jc w:val="center"/>
                            <w:rPr>
                              <w:rFonts w:ascii="Georgia" w:hAnsi="Georgia" w:cs="Microsoft Sans Serif"/>
                              <w:color w:val="1F333E"/>
                              <w:sz w:val="10"/>
                              <w:szCs w:val="10"/>
                            </w:rPr>
                          </w:pPr>
                          <w:r w:rsidRPr="00E13A8A">
                            <w:rPr>
                              <w:rFonts w:ascii="Georgia" w:hAnsi="Georgia" w:cs="Microsoft Sans Serif"/>
                              <w:noProof/>
                              <w:color w:val="1F333E"/>
                              <w:sz w:val="10"/>
                              <w:szCs w:val="10"/>
                              <w:lang w:eastAsia="es-MX"/>
                            </w:rPr>
                            <w:drawing>
                              <wp:inline distT="0" distB="0" distL="0" distR="0" wp14:anchorId="1FD0E164" wp14:editId="2B636C81">
                                <wp:extent cx="3590925" cy="1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0925" cy="19050"/>
                                        </a:xfrm>
                                        <a:prstGeom prst="rect">
                                          <a:avLst/>
                                        </a:prstGeom>
                                        <a:noFill/>
                                        <a:ln>
                                          <a:noFill/>
                                        </a:ln>
                                      </pic:spPr>
                                    </pic:pic>
                                  </a:graphicData>
                                </a:graphic>
                              </wp:inline>
                            </w:drawing>
                          </w:r>
                        </w:p>
                        <w:p w:rsidR="00BB71EC" w:rsidRPr="003A1F64" w:rsidRDefault="00BB71EC" w:rsidP="00BB71EC">
                          <w:pPr>
                            <w:pStyle w:val="Sinespaciado"/>
                            <w:ind w:left="426" w:firstLine="141"/>
                            <w:jc w:val="center"/>
                            <w:rPr>
                              <w:rFonts w:ascii="Georgia" w:hAnsi="Georgia"/>
                              <w:sz w:val="23"/>
                              <w:szCs w:val="23"/>
                            </w:rPr>
                          </w:pPr>
                          <w:r>
                            <w:rPr>
                              <w:rFonts w:ascii="Georgia" w:hAnsi="Georgia"/>
                              <w:sz w:val="21"/>
                              <w:szCs w:val="21"/>
                            </w:rPr>
                            <w:t>Departamento de Presupuesto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F0D9C" id="_x0000_t202" coordsize="21600,21600" o:spt="202" path="m,l,21600r21600,l21600,xe">
              <v:stroke joinstyle="miter"/>
              <v:path gradientshapeok="t" o:connecttype="rect"/>
            </v:shapetype>
            <v:shape id="Cuadro de texto 2" o:spid="_x0000_s1026" type="#_x0000_t202" style="position:absolute;left:0;text-align:left;margin-left:219.35pt;margin-top:-17.1pt;width:337.4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nmiAIAABcFAAAOAAAAZHJzL2Uyb0RvYy54bWysVNuO2yAQfa/Uf0C8Z32pk9hWnNUm21SV&#10;thdp2w8gBseoNuMCib1d9d874CSb7UWqqvoBAzMczsycYXE9tA05CG0kqIJGVyElQpXApdoV9POn&#10;zSSlxFimOGtAiYI+CEOvly9fLPouFzHU0HChCYIok/ddQWtruzwITFmLlpkr6IRCYwW6ZRaXehdw&#10;zXpEb5sgDsNZ0IPmnYZSGIO7t6ORLj1+VYnSfqgqIyxpCorcrB+1H7duDJYLlu8062pZHmmwf2DR&#10;Mqnw0jPULbOM7LX8BaqVpQYDlb0qoQ2gqmQpfAwYTRT+FM19zTrhY8HkmO6cJvP/YMv3h4+aSI61&#10;w/Qo1mKN1nvGNRAuiBWDBRK7LPWdydH5vkN3O6xgwBM+YtPdQfnFEAXrmqmduNEa+lowjiwjdzK4&#10;ODriGAey7d8Bx9vY3oIHGirduhRiUgiiI52Hc4WQBylxM4nTJEvRVKJt9iqN5lN/BctPpztt7BsB&#10;LXGTgmpUgEdnhztjHRuWn1zcZQYayTeyafxC77brRpMDQ7Vs/HdEf+bWKOeswB0bEccdJIl3OJuj&#10;66v/mEVxEq7ibLKZpfNJskmmk2weppMwylbZLEyy5Hbz3RGMkryWnAt1J5U4KTFK/q7Sx54YNeS1&#10;SPqCZtN4Opboj0GG/vtdkK202JiNbAuanp1Y7gr7WnEMm+WWyWacB8/p+yxjDk5/nxUvA1f5UQN2&#10;2A6I4rSxBf6AgtCA9cLS4muCkxr0N0p67MyCmq97pgUlzVuFosqiJEE36xfJdB7jQl9atpcWpkqE&#10;KqilZJyu7dj++07LXY03jTJWcINCrKTXyBOro3yx+3wwx5fCtffl2ns9vWfLHwAAAP//AwBQSwME&#10;FAAGAAgAAAAhALzwMW/gAAAACwEAAA8AAABkcnMvZG93bnJldi54bWxMj0FugzAQRfeVegdrKnVT&#10;JYZAICUMUVupVbdJc4ABHEDBY4SdQG5fZ9UuR//p/zf5bta9uKrRdoYRwmUAQnFl6o4bhOPP52ID&#10;wjrimnrDCuGmLOyKx4ecstpMvFfXg2uEL2GbEULr3JBJaatWabJLMyj22cmMmpw/x0bWI02+XPdy&#10;FQSJ1NSxX2hpUB+tqs6Hi0Y4fU8v69ep/HLHdB8n79SlpbkhPj/Nb1sQTs3uD4a7vleHwjuV5sK1&#10;FT1CHG1SjyIsongF4k6EYbQGUSIkSQSyyOX/H4pfAAAA//8DAFBLAQItABQABgAIAAAAIQC2gziS&#10;/gAAAOEBAAATAAAAAAAAAAAAAAAAAAAAAABbQ29udGVudF9UeXBlc10ueG1sUEsBAi0AFAAGAAgA&#10;AAAhADj9If/WAAAAlAEAAAsAAAAAAAAAAAAAAAAALwEAAF9yZWxzLy5yZWxzUEsBAi0AFAAGAAgA&#10;AAAhAHegieaIAgAAFwUAAA4AAAAAAAAAAAAAAAAALgIAAGRycy9lMm9Eb2MueG1sUEsBAi0AFAAG&#10;AAgAAAAhALzwMW/gAAAACwEAAA8AAAAAAAAAAAAAAAAA4gQAAGRycy9kb3ducmV2LnhtbFBLBQYA&#10;AAAABAAEAPMAAADvBQAAAAA=&#10;" stroked="f">
              <v:textbox>
                <w:txbxContent>
                  <w:p w:rsidR="00BB71EC" w:rsidRPr="00131F05" w:rsidRDefault="00BB71EC" w:rsidP="00553D72">
                    <w:pPr>
                      <w:pStyle w:val="Sinespaciado"/>
                      <w:ind w:left="426" w:firstLine="141"/>
                      <w:rPr>
                        <w:rFonts w:ascii="Georgia" w:hAnsi="Georgia"/>
                        <w:sz w:val="21"/>
                        <w:szCs w:val="21"/>
                      </w:rPr>
                    </w:pPr>
                    <w:r w:rsidRPr="00131F05">
                      <w:rPr>
                        <w:rFonts w:ascii="Georgia" w:hAnsi="Georgia"/>
                        <w:sz w:val="21"/>
                        <w:szCs w:val="21"/>
                      </w:rPr>
                      <w:t>Secretaría de Administración</w:t>
                    </w:r>
                    <w:r>
                      <w:rPr>
                        <w:rFonts w:ascii="Georgia" w:hAnsi="Georgia"/>
                        <w:sz w:val="21"/>
                        <w:szCs w:val="21"/>
                      </w:rPr>
                      <w:t xml:space="preserve"> </w:t>
                    </w:r>
                    <w:r w:rsidRPr="00131F05">
                      <w:rPr>
                        <w:rFonts w:ascii="Georgia" w:hAnsi="Georgia"/>
                        <w:sz w:val="21"/>
                        <w:szCs w:val="21"/>
                      </w:rPr>
                      <w:t>Consejo del Poder Judicial</w:t>
                    </w:r>
                  </w:p>
                  <w:p w:rsidR="00BB71EC" w:rsidRPr="00151922" w:rsidRDefault="00BB71EC" w:rsidP="00BB71EC">
                    <w:pPr>
                      <w:jc w:val="center"/>
                      <w:rPr>
                        <w:rFonts w:ascii="Georgia" w:hAnsi="Georgia" w:cs="Microsoft Sans Serif"/>
                        <w:color w:val="1F333E"/>
                        <w:sz w:val="10"/>
                        <w:szCs w:val="10"/>
                      </w:rPr>
                    </w:pPr>
                    <w:r w:rsidRPr="00E13A8A">
                      <w:rPr>
                        <w:rFonts w:ascii="Georgia" w:hAnsi="Georgia" w:cs="Microsoft Sans Serif"/>
                        <w:noProof/>
                        <w:color w:val="1F333E"/>
                        <w:sz w:val="10"/>
                        <w:szCs w:val="10"/>
                        <w:lang w:eastAsia="es-MX"/>
                      </w:rPr>
                      <w:drawing>
                        <wp:inline distT="0" distB="0" distL="0" distR="0" wp14:anchorId="1FD0E164" wp14:editId="2B636C81">
                          <wp:extent cx="3590925" cy="1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0925" cy="19050"/>
                                  </a:xfrm>
                                  <a:prstGeom prst="rect">
                                    <a:avLst/>
                                  </a:prstGeom>
                                  <a:noFill/>
                                  <a:ln>
                                    <a:noFill/>
                                  </a:ln>
                                </pic:spPr>
                              </pic:pic>
                            </a:graphicData>
                          </a:graphic>
                        </wp:inline>
                      </w:drawing>
                    </w:r>
                  </w:p>
                  <w:p w:rsidR="00BB71EC" w:rsidRPr="003A1F64" w:rsidRDefault="00BB71EC" w:rsidP="00BB71EC">
                    <w:pPr>
                      <w:pStyle w:val="Sinespaciado"/>
                      <w:ind w:left="426" w:firstLine="141"/>
                      <w:jc w:val="center"/>
                      <w:rPr>
                        <w:rFonts w:ascii="Georgia" w:hAnsi="Georgia"/>
                        <w:sz w:val="23"/>
                        <w:szCs w:val="23"/>
                      </w:rPr>
                    </w:pPr>
                    <w:r>
                      <w:rPr>
                        <w:rFonts w:ascii="Georgia" w:hAnsi="Georgia"/>
                        <w:sz w:val="21"/>
                        <w:szCs w:val="21"/>
                      </w:rPr>
                      <w:t>Departamento de Presupuesto</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F1723"/>
    <w:multiLevelType w:val="hybridMultilevel"/>
    <w:tmpl w:val="917EFAE6"/>
    <w:lvl w:ilvl="0" w:tplc="F7EA7742">
      <w:numFmt w:val="bullet"/>
      <w:lvlText w:val=""/>
      <w:lvlJc w:val="left"/>
      <w:pPr>
        <w:ind w:left="720" w:hanging="360"/>
      </w:pPr>
      <w:rPr>
        <w:rFonts w:ascii="Symbol" w:eastAsiaTheme="minorHAns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F9"/>
    <w:rsid w:val="00011E03"/>
    <w:rsid w:val="0001313E"/>
    <w:rsid w:val="00014CD9"/>
    <w:rsid w:val="000240EF"/>
    <w:rsid w:val="000245B0"/>
    <w:rsid w:val="00030289"/>
    <w:rsid w:val="000318F3"/>
    <w:rsid w:val="00041890"/>
    <w:rsid w:val="0004189B"/>
    <w:rsid w:val="00050B3D"/>
    <w:rsid w:val="00063352"/>
    <w:rsid w:val="00063434"/>
    <w:rsid w:val="0007271D"/>
    <w:rsid w:val="000808DC"/>
    <w:rsid w:val="0008383A"/>
    <w:rsid w:val="00086F65"/>
    <w:rsid w:val="00090AA4"/>
    <w:rsid w:val="000B012D"/>
    <w:rsid w:val="000B61BD"/>
    <w:rsid w:val="000C166C"/>
    <w:rsid w:val="000C5086"/>
    <w:rsid w:val="000D71F9"/>
    <w:rsid w:val="000F641C"/>
    <w:rsid w:val="0010384F"/>
    <w:rsid w:val="001109F7"/>
    <w:rsid w:val="0011200F"/>
    <w:rsid w:val="001150B5"/>
    <w:rsid w:val="00115323"/>
    <w:rsid w:val="00117D58"/>
    <w:rsid w:val="00122B6B"/>
    <w:rsid w:val="00125C42"/>
    <w:rsid w:val="00134058"/>
    <w:rsid w:val="00136504"/>
    <w:rsid w:val="001373BF"/>
    <w:rsid w:val="00143E97"/>
    <w:rsid w:val="00146891"/>
    <w:rsid w:val="00155FA6"/>
    <w:rsid w:val="00156EBF"/>
    <w:rsid w:val="0015760E"/>
    <w:rsid w:val="001701E0"/>
    <w:rsid w:val="001944C2"/>
    <w:rsid w:val="001A3725"/>
    <w:rsid w:val="001B07C9"/>
    <w:rsid w:val="001B0F3B"/>
    <w:rsid w:val="001C18B8"/>
    <w:rsid w:val="001C21C8"/>
    <w:rsid w:val="001C2D71"/>
    <w:rsid w:val="001C4F11"/>
    <w:rsid w:val="001C576D"/>
    <w:rsid w:val="001E68BE"/>
    <w:rsid w:val="002005D1"/>
    <w:rsid w:val="002016B2"/>
    <w:rsid w:val="00201F1A"/>
    <w:rsid w:val="00206FDE"/>
    <w:rsid w:val="002103D7"/>
    <w:rsid w:val="00211CAB"/>
    <w:rsid w:val="00212488"/>
    <w:rsid w:val="00222835"/>
    <w:rsid w:val="00234EA4"/>
    <w:rsid w:val="00240650"/>
    <w:rsid w:val="002470A7"/>
    <w:rsid w:val="00250BFE"/>
    <w:rsid w:val="00250F2D"/>
    <w:rsid w:val="002511EB"/>
    <w:rsid w:val="00255FDB"/>
    <w:rsid w:val="002608DB"/>
    <w:rsid w:val="00261A3C"/>
    <w:rsid w:val="00263E3C"/>
    <w:rsid w:val="00266EEF"/>
    <w:rsid w:val="00272D8F"/>
    <w:rsid w:val="00287E05"/>
    <w:rsid w:val="002A1430"/>
    <w:rsid w:val="002A22F2"/>
    <w:rsid w:val="002B2DCD"/>
    <w:rsid w:val="002B642E"/>
    <w:rsid w:val="002C5C4A"/>
    <w:rsid w:val="002D3533"/>
    <w:rsid w:val="002E79CE"/>
    <w:rsid w:val="002F0901"/>
    <w:rsid w:val="002F28DA"/>
    <w:rsid w:val="002F5A17"/>
    <w:rsid w:val="002F7A8A"/>
    <w:rsid w:val="00301110"/>
    <w:rsid w:val="00304E92"/>
    <w:rsid w:val="00310BC7"/>
    <w:rsid w:val="00312EAE"/>
    <w:rsid w:val="0032026B"/>
    <w:rsid w:val="00320E8D"/>
    <w:rsid w:val="00321F28"/>
    <w:rsid w:val="003252AD"/>
    <w:rsid w:val="00334A99"/>
    <w:rsid w:val="00336128"/>
    <w:rsid w:val="00336A45"/>
    <w:rsid w:val="00337D66"/>
    <w:rsid w:val="00347F79"/>
    <w:rsid w:val="003669D8"/>
    <w:rsid w:val="00390BA6"/>
    <w:rsid w:val="00390EA6"/>
    <w:rsid w:val="003A09ED"/>
    <w:rsid w:val="003A29B6"/>
    <w:rsid w:val="003A2DE6"/>
    <w:rsid w:val="003A6F0F"/>
    <w:rsid w:val="003C20CC"/>
    <w:rsid w:val="003C48BC"/>
    <w:rsid w:val="003C4B50"/>
    <w:rsid w:val="003D47D2"/>
    <w:rsid w:val="003E78B3"/>
    <w:rsid w:val="003F1AD9"/>
    <w:rsid w:val="00401EE7"/>
    <w:rsid w:val="004052E3"/>
    <w:rsid w:val="00420B87"/>
    <w:rsid w:val="0042208C"/>
    <w:rsid w:val="00424F9D"/>
    <w:rsid w:val="004251E0"/>
    <w:rsid w:val="00427780"/>
    <w:rsid w:val="00434676"/>
    <w:rsid w:val="00440240"/>
    <w:rsid w:val="00457BA0"/>
    <w:rsid w:val="00460C70"/>
    <w:rsid w:val="00461CE8"/>
    <w:rsid w:val="00476CEC"/>
    <w:rsid w:val="00477A75"/>
    <w:rsid w:val="00486C35"/>
    <w:rsid w:val="004908F1"/>
    <w:rsid w:val="004947A1"/>
    <w:rsid w:val="004979D7"/>
    <w:rsid w:val="004B5F16"/>
    <w:rsid w:val="004C348F"/>
    <w:rsid w:val="004C49AC"/>
    <w:rsid w:val="004C4DC5"/>
    <w:rsid w:val="004C77C1"/>
    <w:rsid w:val="004D25E4"/>
    <w:rsid w:val="004D5489"/>
    <w:rsid w:val="004E2CE7"/>
    <w:rsid w:val="004F0A7A"/>
    <w:rsid w:val="004F2FBA"/>
    <w:rsid w:val="004F2FF0"/>
    <w:rsid w:val="004F3EAC"/>
    <w:rsid w:val="004F6DA6"/>
    <w:rsid w:val="005042EB"/>
    <w:rsid w:val="00516A93"/>
    <w:rsid w:val="00525007"/>
    <w:rsid w:val="005342C8"/>
    <w:rsid w:val="00542543"/>
    <w:rsid w:val="00547494"/>
    <w:rsid w:val="00553569"/>
    <w:rsid w:val="00553D72"/>
    <w:rsid w:val="00560A0E"/>
    <w:rsid w:val="00561011"/>
    <w:rsid w:val="005649C9"/>
    <w:rsid w:val="00566805"/>
    <w:rsid w:val="00571C58"/>
    <w:rsid w:val="00574097"/>
    <w:rsid w:val="00580FCF"/>
    <w:rsid w:val="0058141C"/>
    <w:rsid w:val="00582945"/>
    <w:rsid w:val="00585B00"/>
    <w:rsid w:val="00587E0B"/>
    <w:rsid w:val="005915E5"/>
    <w:rsid w:val="00594401"/>
    <w:rsid w:val="005A058F"/>
    <w:rsid w:val="005A08A7"/>
    <w:rsid w:val="005A1DC3"/>
    <w:rsid w:val="005A3E70"/>
    <w:rsid w:val="005E755E"/>
    <w:rsid w:val="005F1912"/>
    <w:rsid w:val="005F351A"/>
    <w:rsid w:val="00605BAE"/>
    <w:rsid w:val="006125CC"/>
    <w:rsid w:val="006177EC"/>
    <w:rsid w:val="00625F0D"/>
    <w:rsid w:val="00633123"/>
    <w:rsid w:val="006350B7"/>
    <w:rsid w:val="00636C85"/>
    <w:rsid w:val="006526DE"/>
    <w:rsid w:val="00653918"/>
    <w:rsid w:val="00660F7F"/>
    <w:rsid w:val="006625B8"/>
    <w:rsid w:val="00663789"/>
    <w:rsid w:val="0066711D"/>
    <w:rsid w:val="006806D7"/>
    <w:rsid w:val="00685E28"/>
    <w:rsid w:val="00690C4F"/>
    <w:rsid w:val="00691C5E"/>
    <w:rsid w:val="00691EED"/>
    <w:rsid w:val="006922DE"/>
    <w:rsid w:val="00694D70"/>
    <w:rsid w:val="006B4898"/>
    <w:rsid w:val="006B5325"/>
    <w:rsid w:val="006B7A26"/>
    <w:rsid w:val="006C0DE7"/>
    <w:rsid w:val="006C1654"/>
    <w:rsid w:val="006C4456"/>
    <w:rsid w:val="006C627C"/>
    <w:rsid w:val="006D1CF5"/>
    <w:rsid w:val="006D3E45"/>
    <w:rsid w:val="006F2F19"/>
    <w:rsid w:val="006F6969"/>
    <w:rsid w:val="00702D0A"/>
    <w:rsid w:val="00712827"/>
    <w:rsid w:val="00713986"/>
    <w:rsid w:val="00714561"/>
    <w:rsid w:val="0072037E"/>
    <w:rsid w:val="00725E75"/>
    <w:rsid w:val="00731395"/>
    <w:rsid w:val="007339CA"/>
    <w:rsid w:val="00736A32"/>
    <w:rsid w:val="0074030C"/>
    <w:rsid w:val="00771614"/>
    <w:rsid w:val="00775C1A"/>
    <w:rsid w:val="0078006B"/>
    <w:rsid w:val="00782B9C"/>
    <w:rsid w:val="0078690C"/>
    <w:rsid w:val="007922AA"/>
    <w:rsid w:val="007B3E0E"/>
    <w:rsid w:val="007B46A4"/>
    <w:rsid w:val="007B4831"/>
    <w:rsid w:val="007C2E04"/>
    <w:rsid w:val="007D40B3"/>
    <w:rsid w:val="007F263C"/>
    <w:rsid w:val="007F355B"/>
    <w:rsid w:val="008011B6"/>
    <w:rsid w:val="00814C4E"/>
    <w:rsid w:val="00815BCD"/>
    <w:rsid w:val="00816D30"/>
    <w:rsid w:val="00817B8F"/>
    <w:rsid w:val="008200F7"/>
    <w:rsid w:val="0082340E"/>
    <w:rsid w:val="00824D8A"/>
    <w:rsid w:val="0084119A"/>
    <w:rsid w:val="0085335F"/>
    <w:rsid w:val="00855385"/>
    <w:rsid w:val="0086259B"/>
    <w:rsid w:val="00864461"/>
    <w:rsid w:val="0087724E"/>
    <w:rsid w:val="008954CD"/>
    <w:rsid w:val="008A1E3B"/>
    <w:rsid w:val="008A2A40"/>
    <w:rsid w:val="008A325E"/>
    <w:rsid w:val="008A65A8"/>
    <w:rsid w:val="008B4720"/>
    <w:rsid w:val="008B5056"/>
    <w:rsid w:val="008C3535"/>
    <w:rsid w:val="008C38ED"/>
    <w:rsid w:val="008C40ED"/>
    <w:rsid w:val="008D2459"/>
    <w:rsid w:val="008D7C47"/>
    <w:rsid w:val="008E2844"/>
    <w:rsid w:val="008E31BF"/>
    <w:rsid w:val="008F01B2"/>
    <w:rsid w:val="009001C3"/>
    <w:rsid w:val="0091297B"/>
    <w:rsid w:val="0092408A"/>
    <w:rsid w:val="00931E55"/>
    <w:rsid w:val="00934B4D"/>
    <w:rsid w:val="00937E98"/>
    <w:rsid w:val="00940F20"/>
    <w:rsid w:val="00953876"/>
    <w:rsid w:val="00957A70"/>
    <w:rsid w:val="00964DB1"/>
    <w:rsid w:val="00965192"/>
    <w:rsid w:val="00967BD9"/>
    <w:rsid w:val="00993EA9"/>
    <w:rsid w:val="009A59B7"/>
    <w:rsid w:val="009A6E0E"/>
    <w:rsid w:val="009B43E3"/>
    <w:rsid w:val="009B61E1"/>
    <w:rsid w:val="009B72E0"/>
    <w:rsid w:val="009C3F2A"/>
    <w:rsid w:val="009D2CD9"/>
    <w:rsid w:val="009D3CB8"/>
    <w:rsid w:val="009D55C3"/>
    <w:rsid w:val="009E5BC7"/>
    <w:rsid w:val="009F1F3D"/>
    <w:rsid w:val="009F6961"/>
    <w:rsid w:val="00A01DCC"/>
    <w:rsid w:val="00A03577"/>
    <w:rsid w:val="00A063BC"/>
    <w:rsid w:val="00A13FB7"/>
    <w:rsid w:val="00A16222"/>
    <w:rsid w:val="00A27302"/>
    <w:rsid w:val="00A33F45"/>
    <w:rsid w:val="00A34214"/>
    <w:rsid w:val="00A35F39"/>
    <w:rsid w:val="00A52FA8"/>
    <w:rsid w:val="00A576D5"/>
    <w:rsid w:val="00A73F01"/>
    <w:rsid w:val="00A824A1"/>
    <w:rsid w:val="00A8306E"/>
    <w:rsid w:val="00A91315"/>
    <w:rsid w:val="00A91C58"/>
    <w:rsid w:val="00A95E86"/>
    <w:rsid w:val="00AA2D8E"/>
    <w:rsid w:val="00AB3A28"/>
    <w:rsid w:val="00AB5198"/>
    <w:rsid w:val="00AC6EA4"/>
    <w:rsid w:val="00AD0FFF"/>
    <w:rsid w:val="00AE0257"/>
    <w:rsid w:val="00AE2393"/>
    <w:rsid w:val="00B019EF"/>
    <w:rsid w:val="00B06A10"/>
    <w:rsid w:val="00B11BC0"/>
    <w:rsid w:val="00B13A1C"/>
    <w:rsid w:val="00B16AD2"/>
    <w:rsid w:val="00B2353F"/>
    <w:rsid w:val="00B27C89"/>
    <w:rsid w:val="00B345FB"/>
    <w:rsid w:val="00B4181A"/>
    <w:rsid w:val="00B46FBB"/>
    <w:rsid w:val="00B5452D"/>
    <w:rsid w:val="00B558F9"/>
    <w:rsid w:val="00B55BC7"/>
    <w:rsid w:val="00B72037"/>
    <w:rsid w:val="00B729BC"/>
    <w:rsid w:val="00B80A4D"/>
    <w:rsid w:val="00B83E42"/>
    <w:rsid w:val="00B84EE5"/>
    <w:rsid w:val="00B85D00"/>
    <w:rsid w:val="00B93BD5"/>
    <w:rsid w:val="00BA6B95"/>
    <w:rsid w:val="00BB71EC"/>
    <w:rsid w:val="00BC3F75"/>
    <w:rsid w:val="00BD53EA"/>
    <w:rsid w:val="00BD7133"/>
    <w:rsid w:val="00BE5B8C"/>
    <w:rsid w:val="00BE5B9A"/>
    <w:rsid w:val="00BE76F9"/>
    <w:rsid w:val="00BE77A5"/>
    <w:rsid w:val="00BF3F0E"/>
    <w:rsid w:val="00BF4084"/>
    <w:rsid w:val="00C323F1"/>
    <w:rsid w:val="00C347FC"/>
    <w:rsid w:val="00C35EEA"/>
    <w:rsid w:val="00C42D52"/>
    <w:rsid w:val="00C466F1"/>
    <w:rsid w:val="00C508A4"/>
    <w:rsid w:val="00C50C02"/>
    <w:rsid w:val="00C53806"/>
    <w:rsid w:val="00C6455C"/>
    <w:rsid w:val="00C71150"/>
    <w:rsid w:val="00C7337D"/>
    <w:rsid w:val="00C86AED"/>
    <w:rsid w:val="00C9486B"/>
    <w:rsid w:val="00CA6292"/>
    <w:rsid w:val="00CB08F3"/>
    <w:rsid w:val="00CB6791"/>
    <w:rsid w:val="00CC095D"/>
    <w:rsid w:val="00CC5ECA"/>
    <w:rsid w:val="00CC6566"/>
    <w:rsid w:val="00CC70E2"/>
    <w:rsid w:val="00CC794A"/>
    <w:rsid w:val="00CD3DAB"/>
    <w:rsid w:val="00CD7756"/>
    <w:rsid w:val="00CE0105"/>
    <w:rsid w:val="00CE14EA"/>
    <w:rsid w:val="00CE170C"/>
    <w:rsid w:val="00CE2ABD"/>
    <w:rsid w:val="00CF0ED6"/>
    <w:rsid w:val="00CF37D5"/>
    <w:rsid w:val="00D00460"/>
    <w:rsid w:val="00D017C2"/>
    <w:rsid w:val="00D02602"/>
    <w:rsid w:val="00D05F7E"/>
    <w:rsid w:val="00D069E7"/>
    <w:rsid w:val="00D15A18"/>
    <w:rsid w:val="00D24D1B"/>
    <w:rsid w:val="00D30ADB"/>
    <w:rsid w:val="00D471DB"/>
    <w:rsid w:val="00D54189"/>
    <w:rsid w:val="00D5461A"/>
    <w:rsid w:val="00D559A4"/>
    <w:rsid w:val="00D62835"/>
    <w:rsid w:val="00D62F1D"/>
    <w:rsid w:val="00D66067"/>
    <w:rsid w:val="00D70EFA"/>
    <w:rsid w:val="00D76EB6"/>
    <w:rsid w:val="00D77271"/>
    <w:rsid w:val="00D80082"/>
    <w:rsid w:val="00D80AC4"/>
    <w:rsid w:val="00D9668F"/>
    <w:rsid w:val="00DB55AC"/>
    <w:rsid w:val="00DC3828"/>
    <w:rsid w:val="00DC6A60"/>
    <w:rsid w:val="00DD1A45"/>
    <w:rsid w:val="00DD228F"/>
    <w:rsid w:val="00DD3312"/>
    <w:rsid w:val="00DE0F0C"/>
    <w:rsid w:val="00DE1987"/>
    <w:rsid w:val="00DF289C"/>
    <w:rsid w:val="00DF4137"/>
    <w:rsid w:val="00DF5274"/>
    <w:rsid w:val="00E05844"/>
    <w:rsid w:val="00E13A8A"/>
    <w:rsid w:val="00E14295"/>
    <w:rsid w:val="00E175C7"/>
    <w:rsid w:val="00E21B94"/>
    <w:rsid w:val="00E238E4"/>
    <w:rsid w:val="00E253C9"/>
    <w:rsid w:val="00E303DC"/>
    <w:rsid w:val="00E3450F"/>
    <w:rsid w:val="00E356E6"/>
    <w:rsid w:val="00E375AF"/>
    <w:rsid w:val="00E5492E"/>
    <w:rsid w:val="00E624B2"/>
    <w:rsid w:val="00E6302A"/>
    <w:rsid w:val="00E636BB"/>
    <w:rsid w:val="00E935F8"/>
    <w:rsid w:val="00E93F0E"/>
    <w:rsid w:val="00EA026A"/>
    <w:rsid w:val="00EA770C"/>
    <w:rsid w:val="00EC05AD"/>
    <w:rsid w:val="00EC0AA3"/>
    <w:rsid w:val="00EC0DE4"/>
    <w:rsid w:val="00EC511C"/>
    <w:rsid w:val="00EC7C68"/>
    <w:rsid w:val="00ED0651"/>
    <w:rsid w:val="00ED3BFF"/>
    <w:rsid w:val="00ED6886"/>
    <w:rsid w:val="00EE3608"/>
    <w:rsid w:val="00EE629B"/>
    <w:rsid w:val="00EF794C"/>
    <w:rsid w:val="00F01439"/>
    <w:rsid w:val="00F03B9F"/>
    <w:rsid w:val="00F04643"/>
    <w:rsid w:val="00F11C13"/>
    <w:rsid w:val="00F14DC3"/>
    <w:rsid w:val="00F25958"/>
    <w:rsid w:val="00F31A99"/>
    <w:rsid w:val="00F31E52"/>
    <w:rsid w:val="00F40BE3"/>
    <w:rsid w:val="00F50BC6"/>
    <w:rsid w:val="00F56A2C"/>
    <w:rsid w:val="00F576BD"/>
    <w:rsid w:val="00F62B88"/>
    <w:rsid w:val="00F66CFA"/>
    <w:rsid w:val="00F67F6B"/>
    <w:rsid w:val="00F70673"/>
    <w:rsid w:val="00F75713"/>
    <w:rsid w:val="00F90DAC"/>
    <w:rsid w:val="00F977DE"/>
    <w:rsid w:val="00F97BAF"/>
    <w:rsid w:val="00FA587F"/>
    <w:rsid w:val="00FA7BEA"/>
    <w:rsid w:val="00FB0D53"/>
    <w:rsid w:val="00FB0F3B"/>
    <w:rsid w:val="00FB2881"/>
    <w:rsid w:val="00FB2FE7"/>
    <w:rsid w:val="00FC39CA"/>
    <w:rsid w:val="00FC3D7E"/>
    <w:rsid w:val="00FD4D41"/>
    <w:rsid w:val="00FD75BC"/>
    <w:rsid w:val="00FE1BA0"/>
    <w:rsid w:val="00FF1CCC"/>
    <w:rsid w:val="00FF3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54F758-209F-4128-B450-C47F2124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24F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F0D"/>
    <w:pPr>
      <w:ind w:left="720"/>
      <w:contextualSpacing/>
    </w:pPr>
  </w:style>
  <w:style w:type="paragraph" w:styleId="Textodeglobo">
    <w:name w:val="Balloon Text"/>
    <w:basedOn w:val="Normal"/>
    <w:link w:val="TextodegloboCar"/>
    <w:uiPriority w:val="99"/>
    <w:semiHidden/>
    <w:unhideWhenUsed/>
    <w:rsid w:val="009F69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6961"/>
    <w:rPr>
      <w:rFonts w:ascii="Segoe UI" w:hAnsi="Segoe UI" w:cs="Segoe UI"/>
      <w:sz w:val="18"/>
      <w:szCs w:val="18"/>
    </w:rPr>
  </w:style>
  <w:style w:type="paragraph" w:styleId="Sinespaciado">
    <w:name w:val="No Spacing"/>
    <w:uiPriority w:val="1"/>
    <w:qFormat/>
    <w:rsid w:val="009F6961"/>
    <w:pPr>
      <w:spacing w:after="0" w:line="240" w:lineRule="auto"/>
    </w:pPr>
    <w:rPr>
      <w:rFonts w:ascii="Calibri" w:eastAsia="Calibri" w:hAnsi="Calibri" w:cs="Times New Roman"/>
    </w:rPr>
  </w:style>
  <w:style w:type="character" w:styleId="Nmerodelnea">
    <w:name w:val="line number"/>
    <w:basedOn w:val="Fuentedeprrafopredeter"/>
    <w:uiPriority w:val="99"/>
    <w:semiHidden/>
    <w:unhideWhenUsed/>
    <w:rsid w:val="003669D8"/>
  </w:style>
  <w:style w:type="paragraph" w:styleId="Encabezado">
    <w:name w:val="header"/>
    <w:basedOn w:val="Normal"/>
    <w:link w:val="EncabezadoCar"/>
    <w:uiPriority w:val="99"/>
    <w:unhideWhenUsed/>
    <w:rsid w:val="003669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9D8"/>
  </w:style>
  <w:style w:type="paragraph" w:styleId="Piedepgina">
    <w:name w:val="footer"/>
    <w:basedOn w:val="Normal"/>
    <w:link w:val="PiedepginaCar"/>
    <w:uiPriority w:val="99"/>
    <w:unhideWhenUsed/>
    <w:rsid w:val="003669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9D8"/>
  </w:style>
  <w:style w:type="character" w:customStyle="1" w:styleId="Ttulo2Car">
    <w:name w:val="Título 2 Car"/>
    <w:basedOn w:val="Fuentedeprrafopredeter"/>
    <w:link w:val="Ttulo2"/>
    <w:uiPriority w:val="9"/>
    <w:rsid w:val="00424F9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6647">
      <w:bodyDiv w:val="1"/>
      <w:marLeft w:val="0"/>
      <w:marRight w:val="0"/>
      <w:marTop w:val="0"/>
      <w:marBottom w:val="0"/>
      <w:divBdr>
        <w:top w:val="none" w:sz="0" w:space="0" w:color="auto"/>
        <w:left w:val="none" w:sz="0" w:space="0" w:color="auto"/>
        <w:bottom w:val="none" w:sz="0" w:space="0" w:color="auto"/>
        <w:right w:val="none" w:sz="0" w:space="0" w:color="auto"/>
      </w:divBdr>
    </w:div>
    <w:div w:id="232281472">
      <w:bodyDiv w:val="1"/>
      <w:marLeft w:val="0"/>
      <w:marRight w:val="0"/>
      <w:marTop w:val="0"/>
      <w:marBottom w:val="0"/>
      <w:divBdr>
        <w:top w:val="none" w:sz="0" w:space="0" w:color="auto"/>
        <w:left w:val="none" w:sz="0" w:space="0" w:color="auto"/>
        <w:bottom w:val="none" w:sz="0" w:space="0" w:color="auto"/>
        <w:right w:val="none" w:sz="0" w:space="0" w:color="auto"/>
      </w:divBdr>
    </w:div>
    <w:div w:id="244001274">
      <w:bodyDiv w:val="1"/>
      <w:marLeft w:val="0"/>
      <w:marRight w:val="0"/>
      <w:marTop w:val="0"/>
      <w:marBottom w:val="0"/>
      <w:divBdr>
        <w:top w:val="none" w:sz="0" w:space="0" w:color="auto"/>
        <w:left w:val="none" w:sz="0" w:space="0" w:color="auto"/>
        <w:bottom w:val="none" w:sz="0" w:space="0" w:color="auto"/>
        <w:right w:val="none" w:sz="0" w:space="0" w:color="auto"/>
      </w:divBdr>
    </w:div>
    <w:div w:id="363209583">
      <w:bodyDiv w:val="1"/>
      <w:marLeft w:val="0"/>
      <w:marRight w:val="0"/>
      <w:marTop w:val="0"/>
      <w:marBottom w:val="0"/>
      <w:divBdr>
        <w:top w:val="none" w:sz="0" w:space="0" w:color="auto"/>
        <w:left w:val="none" w:sz="0" w:space="0" w:color="auto"/>
        <w:bottom w:val="none" w:sz="0" w:space="0" w:color="auto"/>
        <w:right w:val="none" w:sz="0" w:space="0" w:color="auto"/>
      </w:divBdr>
    </w:div>
    <w:div w:id="546071590">
      <w:bodyDiv w:val="1"/>
      <w:marLeft w:val="0"/>
      <w:marRight w:val="0"/>
      <w:marTop w:val="0"/>
      <w:marBottom w:val="0"/>
      <w:divBdr>
        <w:top w:val="none" w:sz="0" w:space="0" w:color="auto"/>
        <w:left w:val="none" w:sz="0" w:space="0" w:color="auto"/>
        <w:bottom w:val="none" w:sz="0" w:space="0" w:color="auto"/>
        <w:right w:val="none" w:sz="0" w:space="0" w:color="auto"/>
      </w:divBdr>
    </w:div>
    <w:div w:id="591623545">
      <w:bodyDiv w:val="1"/>
      <w:marLeft w:val="0"/>
      <w:marRight w:val="0"/>
      <w:marTop w:val="0"/>
      <w:marBottom w:val="0"/>
      <w:divBdr>
        <w:top w:val="none" w:sz="0" w:space="0" w:color="auto"/>
        <w:left w:val="none" w:sz="0" w:space="0" w:color="auto"/>
        <w:bottom w:val="none" w:sz="0" w:space="0" w:color="auto"/>
        <w:right w:val="none" w:sz="0" w:space="0" w:color="auto"/>
      </w:divBdr>
    </w:div>
    <w:div w:id="591932028">
      <w:bodyDiv w:val="1"/>
      <w:marLeft w:val="0"/>
      <w:marRight w:val="0"/>
      <w:marTop w:val="0"/>
      <w:marBottom w:val="0"/>
      <w:divBdr>
        <w:top w:val="none" w:sz="0" w:space="0" w:color="auto"/>
        <w:left w:val="none" w:sz="0" w:space="0" w:color="auto"/>
        <w:bottom w:val="none" w:sz="0" w:space="0" w:color="auto"/>
        <w:right w:val="none" w:sz="0" w:space="0" w:color="auto"/>
      </w:divBdr>
    </w:div>
    <w:div w:id="682705409">
      <w:bodyDiv w:val="1"/>
      <w:marLeft w:val="0"/>
      <w:marRight w:val="0"/>
      <w:marTop w:val="0"/>
      <w:marBottom w:val="0"/>
      <w:divBdr>
        <w:top w:val="none" w:sz="0" w:space="0" w:color="auto"/>
        <w:left w:val="none" w:sz="0" w:space="0" w:color="auto"/>
        <w:bottom w:val="none" w:sz="0" w:space="0" w:color="auto"/>
        <w:right w:val="none" w:sz="0" w:space="0" w:color="auto"/>
      </w:divBdr>
    </w:div>
    <w:div w:id="703678146">
      <w:bodyDiv w:val="1"/>
      <w:marLeft w:val="0"/>
      <w:marRight w:val="0"/>
      <w:marTop w:val="0"/>
      <w:marBottom w:val="0"/>
      <w:divBdr>
        <w:top w:val="none" w:sz="0" w:space="0" w:color="auto"/>
        <w:left w:val="none" w:sz="0" w:space="0" w:color="auto"/>
        <w:bottom w:val="none" w:sz="0" w:space="0" w:color="auto"/>
        <w:right w:val="none" w:sz="0" w:space="0" w:color="auto"/>
      </w:divBdr>
    </w:div>
    <w:div w:id="770125854">
      <w:bodyDiv w:val="1"/>
      <w:marLeft w:val="0"/>
      <w:marRight w:val="0"/>
      <w:marTop w:val="0"/>
      <w:marBottom w:val="0"/>
      <w:divBdr>
        <w:top w:val="none" w:sz="0" w:space="0" w:color="auto"/>
        <w:left w:val="none" w:sz="0" w:space="0" w:color="auto"/>
        <w:bottom w:val="none" w:sz="0" w:space="0" w:color="auto"/>
        <w:right w:val="none" w:sz="0" w:space="0" w:color="auto"/>
      </w:divBdr>
    </w:div>
    <w:div w:id="792790013">
      <w:bodyDiv w:val="1"/>
      <w:marLeft w:val="0"/>
      <w:marRight w:val="0"/>
      <w:marTop w:val="0"/>
      <w:marBottom w:val="0"/>
      <w:divBdr>
        <w:top w:val="none" w:sz="0" w:space="0" w:color="auto"/>
        <w:left w:val="none" w:sz="0" w:space="0" w:color="auto"/>
        <w:bottom w:val="none" w:sz="0" w:space="0" w:color="auto"/>
        <w:right w:val="none" w:sz="0" w:space="0" w:color="auto"/>
      </w:divBdr>
    </w:div>
    <w:div w:id="864094700">
      <w:bodyDiv w:val="1"/>
      <w:marLeft w:val="0"/>
      <w:marRight w:val="0"/>
      <w:marTop w:val="0"/>
      <w:marBottom w:val="0"/>
      <w:divBdr>
        <w:top w:val="none" w:sz="0" w:space="0" w:color="auto"/>
        <w:left w:val="none" w:sz="0" w:space="0" w:color="auto"/>
        <w:bottom w:val="none" w:sz="0" w:space="0" w:color="auto"/>
        <w:right w:val="none" w:sz="0" w:space="0" w:color="auto"/>
      </w:divBdr>
    </w:div>
    <w:div w:id="919287962">
      <w:bodyDiv w:val="1"/>
      <w:marLeft w:val="0"/>
      <w:marRight w:val="0"/>
      <w:marTop w:val="0"/>
      <w:marBottom w:val="0"/>
      <w:divBdr>
        <w:top w:val="none" w:sz="0" w:space="0" w:color="auto"/>
        <w:left w:val="none" w:sz="0" w:space="0" w:color="auto"/>
        <w:bottom w:val="none" w:sz="0" w:space="0" w:color="auto"/>
        <w:right w:val="none" w:sz="0" w:space="0" w:color="auto"/>
      </w:divBdr>
    </w:div>
    <w:div w:id="964772149">
      <w:bodyDiv w:val="1"/>
      <w:marLeft w:val="0"/>
      <w:marRight w:val="0"/>
      <w:marTop w:val="0"/>
      <w:marBottom w:val="0"/>
      <w:divBdr>
        <w:top w:val="none" w:sz="0" w:space="0" w:color="auto"/>
        <w:left w:val="none" w:sz="0" w:space="0" w:color="auto"/>
        <w:bottom w:val="none" w:sz="0" w:space="0" w:color="auto"/>
        <w:right w:val="none" w:sz="0" w:space="0" w:color="auto"/>
      </w:divBdr>
    </w:div>
    <w:div w:id="971910989">
      <w:bodyDiv w:val="1"/>
      <w:marLeft w:val="0"/>
      <w:marRight w:val="0"/>
      <w:marTop w:val="0"/>
      <w:marBottom w:val="0"/>
      <w:divBdr>
        <w:top w:val="none" w:sz="0" w:space="0" w:color="auto"/>
        <w:left w:val="none" w:sz="0" w:space="0" w:color="auto"/>
        <w:bottom w:val="none" w:sz="0" w:space="0" w:color="auto"/>
        <w:right w:val="none" w:sz="0" w:space="0" w:color="auto"/>
      </w:divBdr>
    </w:div>
    <w:div w:id="1093626726">
      <w:bodyDiv w:val="1"/>
      <w:marLeft w:val="0"/>
      <w:marRight w:val="0"/>
      <w:marTop w:val="0"/>
      <w:marBottom w:val="0"/>
      <w:divBdr>
        <w:top w:val="none" w:sz="0" w:space="0" w:color="auto"/>
        <w:left w:val="none" w:sz="0" w:space="0" w:color="auto"/>
        <w:bottom w:val="none" w:sz="0" w:space="0" w:color="auto"/>
        <w:right w:val="none" w:sz="0" w:space="0" w:color="auto"/>
      </w:divBdr>
    </w:div>
    <w:div w:id="1433629393">
      <w:bodyDiv w:val="1"/>
      <w:marLeft w:val="0"/>
      <w:marRight w:val="0"/>
      <w:marTop w:val="0"/>
      <w:marBottom w:val="0"/>
      <w:divBdr>
        <w:top w:val="none" w:sz="0" w:space="0" w:color="auto"/>
        <w:left w:val="none" w:sz="0" w:space="0" w:color="auto"/>
        <w:bottom w:val="none" w:sz="0" w:space="0" w:color="auto"/>
        <w:right w:val="none" w:sz="0" w:space="0" w:color="auto"/>
      </w:divBdr>
    </w:div>
    <w:div w:id="1531648711">
      <w:bodyDiv w:val="1"/>
      <w:marLeft w:val="0"/>
      <w:marRight w:val="0"/>
      <w:marTop w:val="0"/>
      <w:marBottom w:val="0"/>
      <w:divBdr>
        <w:top w:val="none" w:sz="0" w:space="0" w:color="auto"/>
        <w:left w:val="none" w:sz="0" w:space="0" w:color="auto"/>
        <w:bottom w:val="none" w:sz="0" w:space="0" w:color="auto"/>
        <w:right w:val="none" w:sz="0" w:space="0" w:color="auto"/>
      </w:divBdr>
    </w:div>
    <w:div w:id="1542012414">
      <w:bodyDiv w:val="1"/>
      <w:marLeft w:val="0"/>
      <w:marRight w:val="0"/>
      <w:marTop w:val="0"/>
      <w:marBottom w:val="0"/>
      <w:divBdr>
        <w:top w:val="none" w:sz="0" w:space="0" w:color="auto"/>
        <w:left w:val="none" w:sz="0" w:space="0" w:color="auto"/>
        <w:bottom w:val="none" w:sz="0" w:space="0" w:color="auto"/>
        <w:right w:val="none" w:sz="0" w:space="0" w:color="auto"/>
      </w:divBdr>
    </w:div>
    <w:div w:id="1583294733">
      <w:bodyDiv w:val="1"/>
      <w:marLeft w:val="0"/>
      <w:marRight w:val="0"/>
      <w:marTop w:val="0"/>
      <w:marBottom w:val="0"/>
      <w:divBdr>
        <w:top w:val="none" w:sz="0" w:space="0" w:color="auto"/>
        <w:left w:val="none" w:sz="0" w:space="0" w:color="auto"/>
        <w:bottom w:val="none" w:sz="0" w:space="0" w:color="auto"/>
        <w:right w:val="none" w:sz="0" w:space="0" w:color="auto"/>
      </w:divBdr>
    </w:div>
    <w:div w:id="1761442202">
      <w:bodyDiv w:val="1"/>
      <w:marLeft w:val="0"/>
      <w:marRight w:val="0"/>
      <w:marTop w:val="0"/>
      <w:marBottom w:val="0"/>
      <w:divBdr>
        <w:top w:val="none" w:sz="0" w:space="0" w:color="auto"/>
        <w:left w:val="none" w:sz="0" w:space="0" w:color="auto"/>
        <w:bottom w:val="none" w:sz="0" w:space="0" w:color="auto"/>
        <w:right w:val="none" w:sz="0" w:space="0" w:color="auto"/>
      </w:divBdr>
    </w:div>
    <w:div w:id="1835757699">
      <w:bodyDiv w:val="1"/>
      <w:marLeft w:val="0"/>
      <w:marRight w:val="0"/>
      <w:marTop w:val="0"/>
      <w:marBottom w:val="0"/>
      <w:divBdr>
        <w:top w:val="none" w:sz="0" w:space="0" w:color="auto"/>
        <w:left w:val="none" w:sz="0" w:space="0" w:color="auto"/>
        <w:bottom w:val="none" w:sz="0" w:space="0" w:color="auto"/>
        <w:right w:val="none" w:sz="0" w:space="0" w:color="auto"/>
      </w:divBdr>
    </w:div>
    <w:div w:id="1890997900">
      <w:bodyDiv w:val="1"/>
      <w:marLeft w:val="0"/>
      <w:marRight w:val="0"/>
      <w:marTop w:val="0"/>
      <w:marBottom w:val="0"/>
      <w:divBdr>
        <w:top w:val="none" w:sz="0" w:space="0" w:color="auto"/>
        <w:left w:val="none" w:sz="0" w:space="0" w:color="auto"/>
        <w:bottom w:val="none" w:sz="0" w:space="0" w:color="auto"/>
        <w:right w:val="none" w:sz="0" w:space="0" w:color="auto"/>
      </w:divBdr>
    </w:div>
    <w:div w:id="1956517292">
      <w:bodyDiv w:val="1"/>
      <w:marLeft w:val="0"/>
      <w:marRight w:val="0"/>
      <w:marTop w:val="0"/>
      <w:marBottom w:val="0"/>
      <w:divBdr>
        <w:top w:val="none" w:sz="0" w:space="0" w:color="auto"/>
        <w:left w:val="none" w:sz="0" w:space="0" w:color="auto"/>
        <w:bottom w:val="none" w:sz="0" w:space="0" w:color="auto"/>
        <w:right w:val="none" w:sz="0" w:space="0" w:color="auto"/>
      </w:divBdr>
    </w:div>
    <w:div w:id="2055690975">
      <w:bodyDiv w:val="1"/>
      <w:marLeft w:val="0"/>
      <w:marRight w:val="0"/>
      <w:marTop w:val="0"/>
      <w:marBottom w:val="0"/>
      <w:divBdr>
        <w:top w:val="none" w:sz="0" w:space="0" w:color="auto"/>
        <w:left w:val="none" w:sz="0" w:space="0" w:color="auto"/>
        <w:bottom w:val="none" w:sz="0" w:space="0" w:color="auto"/>
        <w:right w:val="none" w:sz="0" w:space="0" w:color="auto"/>
      </w:divBdr>
    </w:div>
    <w:div w:id="2082675800">
      <w:bodyDiv w:val="1"/>
      <w:marLeft w:val="0"/>
      <w:marRight w:val="0"/>
      <w:marTop w:val="0"/>
      <w:marBottom w:val="0"/>
      <w:divBdr>
        <w:top w:val="none" w:sz="0" w:space="0" w:color="auto"/>
        <w:left w:val="none" w:sz="0" w:space="0" w:color="auto"/>
        <w:bottom w:val="none" w:sz="0" w:space="0" w:color="auto"/>
        <w:right w:val="none" w:sz="0" w:space="0" w:color="auto"/>
      </w:divBdr>
    </w:div>
    <w:div w:id="21349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4</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del STJEM</dc:creator>
  <cp:keywords/>
  <dc:description/>
  <cp:lastModifiedBy>Usuario del STJEM</cp:lastModifiedBy>
  <cp:revision>29</cp:revision>
  <cp:lastPrinted>2023-01-17T18:55:00Z</cp:lastPrinted>
  <dcterms:created xsi:type="dcterms:W3CDTF">2022-10-05T01:21:00Z</dcterms:created>
  <dcterms:modified xsi:type="dcterms:W3CDTF">2023-01-17T19:08:00Z</dcterms:modified>
</cp:coreProperties>
</file>